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tblLook w:val="04A0" w:firstRow="1" w:lastRow="0" w:firstColumn="1" w:lastColumn="0" w:noHBand="0" w:noVBand="1"/>
      </w:tblPr>
      <w:tblGrid>
        <w:gridCol w:w="1440"/>
        <w:gridCol w:w="2628"/>
      </w:tblGrid>
      <w:tr w:rsidR="00EC33F4" w:rsidRPr="006A0C0F" w14:paraId="252F524A" w14:textId="77777777" w:rsidTr="0096022A">
        <w:trPr>
          <w:trHeight w:val="1440"/>
        </w:trPr>
        <w:tc>
          <w:tcPr>
            <w:tcW w:w="1440" w:type="dxa"/>
            <w:tcBorders>
              <w:right w:val="single" w:sz="4" w:space="0" w:color="FFFFFF"/>
            </w:tcBorders>
            <w:shd w:val="clear" w:color="auto" w:fill="943634"/>
          </w:tcPr>
          <w:p w14:paraId="10D3866E" w14:textId="04677812" w:rsidR="00EC33F4" w:rsidRPr="006A0C0F" w:rsidRDefault="005A5090" w:rsidP="00B44F7B">
            <w:pPr>
              <w:ind w:right="250"/>
              <w:rPr>
                <w:vertAlign w:val="subscript"/>
              </w:rPr>
            </w:pPr>
            <w:bookmarkStart w:id="0" w:name="_Toc284342453"/>
            <w:bookmarkStart w:id="1" w:name="_Toc284342549"/>
            <w:r>
              <w:rPr>
                <w:vertAlign w:val="subscript"/>
              </w:rPr>
              <w:softHyphen/>
            </w:r>
            <w:r>
              <w:rPr>
                <w:vertAlign w:val="subscript"/>
              </w:rPr>
              <w:softHyphen/>
            </w:r>
            <w:r w:rsidR="000B68E6" w:rsidRPr="006A0C0F">
              <w:rPr>
                <w:vertAlign w:val="subscript"/>
              </w:rPr>
              <w:softHyphen/>
            </w:r>
            <w:r w:rsidR="00872038" w:rsidRPr="006A0C0F">
              <w:rPr>
                <w:vertAlign w:val="subscript"/>
              </w:rPr>
              <w:softHyphen/>
            </w:r>
            <w:r w:rsidR="000977AD" w:rsidRPr="006A0C0F">
              <w:rPr>
                <w:vertAlign w:val="subscript"/>
              </w:rPr>
              <w:softHyphen/>
            </w:r>
          </w:p>
        </w:tc>
        <w:tc>
          <w:tcPr>
            <w:tcW w:w="2628" w:type="dxa"/>
            <w:tcBorders>
              <w:left w:val="single" w:sz="4" w:space="0" w:color="FFFFFF"/>
            </w:tcBorders>
            <w:shd w:val="clear" w:color="auto" w:fill="943634"/>
            <w:vAlign w:val="bottom"/>
          </w:tcPr>
          <w:p w14:paraId="1DD8E754" w14:textId="27F909FD" w:rsidR="00EC33F4" w:rsidRPr="006A0C0F" w:rsidRDefault="00E30B27" w:rsidP="00D8739C">
            <w:pPr>
              <w:pStyle w:val="MediumGrid21"/>
              <w:rPr>
                <w:rFonts w:ascii="Cambria" w:eastAsia="Times New Roman" w:hAnsi="Cambria"/>
                <w:b/>
                <w:bCs/>
                <w:color w:val="FFFFFF"/>
                <w:sz w:val="72"/>
                <w:szCs w:val="72"/>
              </w:rPr>
            </w:pPr>
            <w:r>
              <w:rPr>
                <w:rFonts w:ascii="Cambria" w:eastAsia="Times New Roman" w:hAnsi="Cambria"/>
                <w:b/>
                <w:bCs/>
                <w:color w:val="FFFFFF"/>
                <w:sz w:val="72"/>
                <w:szCs w:val="72"/>
              </w:rPr>
              <w:t>2020</w:t>
            </w:r>
          </w:p>
        </w:tc>
      </w:tr>
      <w:tr w:rsidR="00EC33F4" w:rsidRPr="00E01313" w14:paraId="0BCEBC93" w14:textId="77777777" w:rsidTr="0096022A">
        <w:trPr>
          <w:trHeight w:val="2880"/>
        </w:trPr>
        <w:tc>
          <w:tcPr>
            <w:tcW w:w="1440" w:type="dxa"/>
            <w:tcBorders>
              <w:right w:val="single" w:sz="4" w:space="0" w:color="000000"/>
            </w:tcBorders>
          </w:tcPr>
          <w:p w14:paraId="2374B362" w14:textId="77777777" w:rsidR="00EC33F4" w:rsidRPr="006A0C0F" w:rsidRDefault="00EC33F4"/>
        </w:tc>
        <w:tc>
          <w:tcPr>
            <w:tcW w:w="2628" w:type="dxa"/>
            <w:tcBorders>
              <w:left w:val="single" w:sz="4" w:space="0" w:color="000000"/>
            </w:tcBorders>
            <w:vAlign w:val="center"/>
          </w:tcPr>
          <w:p w14:paraId="4F12698D" w14:textId="77777777" w:rsidR="009C3F7C" w:rsidRPr="006A0C0F" w:rsidRDefault="009C3F7C">
            <w:pPr>
              <w:pStyle w:val="MediumGrid21"/>
              <w:rPr>
                <w:rFonts w:cs="Arial"/>
              </w:rPr>
            </w:pPr>
          </w:p>
          <w:p w14:paraId="106833D9" w14:textId="72A22523" w:rsidR="00EC33F4" w:rsidRPr="006A0C0F" w:rsidRDefault="0056374B" w:rsidP="00AD5E8A">
            <w:pPr>
              <w:pStyle w:val="MediumGrid21"/>
              <w:spacing w:line="276" w:lineRule="auto"/>
              <w:rPr>
                <w:rFonts w:cs="Arial"/>
              </w:rPr>
            </w:pPr>
            <w:r w:rsidRPr="006A0C0F">
              <w:rPr>
                <w:rFonts w:cs="Arial"/>
                <w:noProof/>
                <w:lang w:eastAsia="en-US"/>
              </w:rPr>
              <w:drawing>
                <wp:anchor distT="0" distB="0" distL="114300" distR="114300" simplePos="0" relativeHeight="251661824" behindDoc="1" locked="0" layoutInCell="1" allowOverlap="1" wp14:anchorId="537A5155" wp14:editId="168F0C44">
                  <wp:simplePos x="0" y="0"/>
                  <wp:positionH relativeFrom="column">
                    <wp:posOffset>83820</wp:posOffset>
                  </wp:positionH>
                  <wp:positionV relativeFrom="paragraph">
                    <wp:posOffset>-1377315</wp:posOffset>
                  </wp:positionV>
                  <wp:extent cx="1431925" cy="1393825"/>
                  <wp:effectExtent l="0" t="0" r="0" b="0"/>
                  <wp:wrapTight wrapText="bothSides">
                    <wp:wrapPolygon edited="0">
                      <wp:start x="0" y="0"/>
                      <wp:lineTo x="0" y="21256"/>
                      <wp:lineTo x="21265" y="21256"/>
                      <wp:lineTo x="21265" y="0"/>
                      <wp:lineTo x="0" y="0"/>
                    </wp:wrapPolygon>
                  </wp:wrapTight>
                  <wp:docPr id="358" name="Picture 4" descr="Description: Description: C:\Users\hurstk\Pictures\TSBVI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C:\Users\hurstk\Pictures\TSBVIColor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393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917" w:rsidRPr="006A0C0F">
              <w:rPr>
                <w:rFonts w:cs="Arial"/>
              </w:rPr>
              <w:t xml:space="preserve">Mary Shore, COMS </w:t>
            </w:r>
          </w:p>
          <w:p w14:paraId="269999D4" w14:textId="5B506ECE" w:rsidR="00A24CE3" w:rsidRDefault="00A24CE3" w:rsidP="00AD5E8A">
            <w:pPr>
              <w:pStyle w:val="MediumGrid21"/>
              <w:spacing w:line="276" w:lineRule="auto"/>
              <w:rPr>
                <w:rFonts w:cs="Arial"/>
              </w:rPr>
            </w:pPr>
            <w:r>
              <w:rPr>
                <w:rFonts w:cs="Arial"/>
              </w:rPr>
              <w:t>Outreach Programs</w:t>
            </w:r>
          </w:p>
          <w:p w14:paraId="65E72190" w14:textId="0650D489" w:rsidR="0096022A" w:rsidRPr="00E01313" w:rsidRDefault="0096022A" w:rsidP="00BD6B6E">
            <w:pPr>
              <w:pStyle w:val="MediumGrid21"/>
              <w:rPr>
                <w:rFonts w:cs="Arial"/>
                <w:color w:val="76923C"/>
              </w:rPr>
            </w:pPr>
            <w:r w:rsidRPr="006A0C0F">
              <w:rPr>
                <w:rFonts w:cs="Arial"/>
              </w:rPr>
              <w:t>Texas School for the Blind and Visually Impaired</w:t>
            </w:r>
          </w:p>
          <w:p w14:paraId="03E2C647" w14:textId="4966264C" w:rsidR="005D63CF" w:rsidRDefault="005D63CF">
            <w:pPr>
              <w:pStyle w:val="MediumGrid21"/>
              <w:rPr>
                <w:rFonts w:cs="Arial"/>
              </w:rPr>
            </w:pPr>
          </w:p>
          <w:p w14:paraId="0F589A6A" w14:textId="77777777" w:rsidR="00754AA4" w:rsidRPr="00E01313" w:rsidRDefault="00754AA4">
            <w:pPr>
              <w:pStyle w:val="MediumGrid21"/>
              <w:rPr>
                <w:rFonts w:cs="Arial"/>
              </w:rPr>
            </w:pPr>
          </w:p>
          <w:p w14:paraId="0899B559" w14:textId="6ED9306C" w:rsidR="00B50A64" w:rsidRPr="00E01313" w:rsidRDefault="00B50A64">
            <w:pPr>
              <w:pStyle w:val="MediumGrid21"/>
              <w:rPr>
                <w:rFonts w:cs="Arial"/>
                <w:color w:val="76923C"/>
              </w:rPr>
            </w:pPr>
          </w:p>
        </w:tc>
      </w:tr>
    </w:tbl>
    <w:p w14:paraId="055664C3" w14:textId="77777777" w:rsidR="00280FE8" w:rsidRDefault="00280FE8" w:rsidP="00467CE5">
      <w:pPr>
        <w:pStyle w:val="MediumGrid21"/>
        <w:rPr>
          <w:rFonts w:cs="Arial"/>
          <w:b/>
          <w:bCs/>
          <w:i/>
          <w:caps/>
          <w:sz w:val="72"/>
          <w:szCs w:val="72"/>
          <w:highlight w:val="yellow"/>
        </w:rPr>
      </w:pPr>
    </w:p>
    <w:p w14:paraId="58E89533" w14:textId="77777777" w:rsidR="00280FE8" w:rsidRDefault="00280FE8" w:rsidP="00467CE5">
      <w:pPr>
        <w:pStyle w:val="MediumGrid21"/>
        <w:rPr>
          <w:rFonts w:cs="Arial"/>
          <w:b/>
          <w:bCs/>
          <w:i/>
          <w:caps/>
          <w:sz w:val="72"/>
          <w:szCs w:val="72"/>
          <w:highlight w:val="yellow"/>
        </w:rPr>
      </w:pPr>
    </w:p>
    <w:p w14:paraId="5F32CFF8" w14:textId="77777777" w:rsidR="00280FE8" w:rsidRDefault="00280FE8" w:rsidP="00467CE5">
      <w:pPr>
        <w:pStyle w:val="MediumGrid21"/>
        <w:rPr>
          <w:rFonts w:cs="Arial"/>
          <w:b/>
          <w:bCs/>
          <w:i/>
          <w:caps/>
          <w:sz w:val="72"/>
          <w:szCs w:val="72"/>
          <w:highlight w:val="yellow"/>
        </w:rPr>
      </w:pPr>
    </w:p>
    <w:p w14:paraId="58EE687B" w14:textId="77777777" w:rsidR="00280FE8" w:rsidRDefault="00280FE8" w:rsidP="00467CE5">
      <w:pPr>
        <w:pStyle w:val="MediumGrid21"/>
        <w:rPr>
          <w:rFonts w:cs="Arial"/>
          <w:b/>
          <w:bCs/>
          <w:i/>
          <w:caps/>
          <w:sz w:val="72"/>
          <w:szCs w:val="72"/>
          <w:highlight w:val="yellow"/>
        </w:rPr>
      </w:pPr>
    </w:p>
    <w:p w14:paraId="0962B9F8" w14:textId="77777777" w:rsidR="00280FE8" w:rsidRDefault="00280FE8" w:rsidP="00467CE5">
      <w:pPr>
        <w:pStyle w:val="MediumGrid21"/>
        <w:rPr>
          <w:rFonts w:cs="Arial"/>
          <w:b/>
          <w:bCs/>
          <w:i/>
          <w:caps/>
          <w:sz w:val="72"/>
          <w:szCs w:val="72"/>
          <w:highlight w:val="yellow"/>
        </w:rPr>
      </w:pPr>
    </w:p>
    <w:p w14:paraId="1CAB92FA" w14:textId="77777777" w:rsidR="00280FE8" w:rsidRDefault="00280FE8" w:rsidP="00467CE5">
      <w:pPr>
        <w:pStyle w:val="MediumGrid21"/>
        <w:rPr>
          <w:rFonts w:cs="Arial"/>
          <w:b/>
          <w:bCs/>
          <w:i/>
          <w:caps/>
          <w:sz w:val="72"/>
          <w:szCs w:val="72"/>
          <w:highlight w:val="yellow"/>
        </w:rPr>
      </w:pPr>
    </w:p>
    <w:p w14:paraId="4696A771" w14:textId="77777777" w:rsidR="00280FE8" w:rsidRDefault="00280FE8" w:rsidP="00467CE5">
      <w:pPr>
        <w:pStyle w:val="MediumGrid21"/>
        <w:rPr>
          <w:rFonts w:cs="Arial"/>
          <w:b/>
          <w:bCs/>
          <w:i/>
          <w:caps/>
          <w:sz w:val="72"/>
          <w:szCs w:val="72"/>
          <w:highlight w:val="yellow"/>
        </w:rPr>
      </w:pPr>
    </w:p>
    <w:p w14:paraId="565589E3" w14:textId="77777777" w:rsidR="00280FE8" w:rsidRDefault="00280FE8" w:rsidP="00467CE5">
      <w:pPr>
        <w:pStyle w:val="MediumGrid21"/>
        <w:rPr>
          <w:rFonts w:cs="Arial"/>
          <w:b/>
          <w:bCs/>
          <w:i/>
          <w:caps/>
          <w:sz w:val="72"/>
          <w:szCs w:val="72"/>
          <w:highlight w:val="yellow"/>
        </w:rPr>
      </w:pPr>
    </w:p>
    <w:p w14:paraId="7F5C2C3D" w14:textId="77777777" w:rsidR="00280FE8" w:rsidRDefault="00280FE8" w:rsidP="00467CE5">
      <w:pPr>
        <w:pStyle w:val="MediumGrid21"/>
        <w:rPr>
          <w:rFonts w:cs="Arial"/>
          <w:b/>
          <w:bCs/>
          <w:i/>
          <w:caps/>
          <w:sz w:val="72"/>
          <w:szCs w:val="72"/>
          <w:highlight w:val="yellow"/>
        </w:rPr>
      </w:pPr>
    </w:p>
    <w:p w14:paraId="4DC87527" w14:textId="6D569ECC" w:rsidR="00280FE8" w:rsidRPr="00D105A8" w:rsidRDefault="00280FE8" w:rsidP="00467CE5">
      <w:pPr>
        <w:pStyle w:val="MediumGrid21"/>
        <w:rPr>
          <w:rFonts w:cs="Arial"/>
          <w:b/>
          <w:bCs/>
          <w:caps/>
          <w:sz w:val="72"/>
          <w:szCs w:val="72"/>
          <w:highlight w:val="yellow"/>
        </w:rPr>
      </w:pPr>
    </w:p>
    <w:p w14:paraId="267956D4" w14:textId="28E10142" w:rsidR="001C4E9D" w:rsidRDefault="001C4E9D" w:rsidP="00467CE5">
      <w:pPr>
        <w:pStyle w:val="MediumGrid21"/>
        <w:rPr>
          <w:rFonts w:cs="Arial"/>
          <w:b/>
          <w:bCs/>
          <w:caps/>
          <w:sz w:val="72"/>
          <w:szCs w:val="72"/>
        </w:rPr>
      </w:pPr>
    </w:p>
    <w:p w14:paraId="46572620" w14:textId="7CB42842" w:rsidR="00467CE5" w:rsidRPr="00E01313" w:rsidRDefault="00B952A7" w:rsidP="00467CE5">
      <w:pPr>
        <w:pStyle w:val="MediumGrid21"/>
        <w:rPr>
          <w:rFonts w:cs="Arial"/>
          <w:b/>
          <w:bCs/>
          <w:caps/>
          <w:sz w:val="72"/>
          <w:szCs w:val="72"/>
        </w:rPr>
      </w:pPr>
      <w:r>
        <w:rPr>
          <w:rFonts w:cs="Arial"/>
          <w:b/>
          <w:bCs/>
          <w:caps/>
          <w:sz w:val="72"/>
          <w:szCs w:val="72"/>
        </w:rPr>
        <w:t>2020</w:t>
      </w:r>
      <w:r w:rsidR="00467CE5" w:rsidRPr="00E01313">
        <w:rPr>
          <w:rFonts w:cs="Arial"/>
          <w:b/>
          <w:bCs/>
          <w:caps/>
          <w:sz w:val="72"/>
          <w:szCs w:val="72"/>
        </w:rPr>
        <w:t xml:space="preserve"> Summary of Professionals IN Visual Impairment IN Texas</w:t>
      </w:r>
      <w:r w:rsidR="001C4E9D">
        <w:rPr>
          <w:rFonts w:cs="Arial"/>
          <w:b/>
          <w:bCs/>
          <w:caps/>
          <w:sz w:val="72"/>
          <w:szCs w:val="72"/>
        </w:rPr>
        <w:t xml:space="preserve"> </w:t>
      </w:r>
    </w:p>
    <w:p w14:paraId="096D2910" w14:textId="3C72556B" w:rsidR="00280FE8" w:rsidRPr="00B6439A" w:rsidRDefault="00467CE5" w:rsidP="00B6439A">
      <w:pPr>
        <w:pStyle w:val="MediumGrid21"/>
        <w:rPr>
          <w:rFonts w:cs="Arial"/>
        </w:rPr>
      </w:pPr>
      <w:r w:rsidRPr="00E01313">
        <w:rPr>
          <w:rFonts w:cs="Arial"/>
        </w:rPr>
        <w:t>A review of education professionals who work with Texas students with visual impairments, including a description of selected characteristics, projections of attrition, and projected future needs.</w:t>
      </w:r>
      <w:r w:rsidR="000977E4">
        <w:rPr>
          <w:b/>
          <w:bCs/>
          <w:sz w:val="25"/>
          <w:szCs w:val="25"/>
        </w:rPr>
        <w:tab/>
      </w:r>
    </w:p>
    <w:p w14:paraId="75543DA1" w14:textId="3BFFDF51" w:rsidR="00280FE8" w:rsidRDefault="00280FE8" w:rsidP="00280FE8"/>
    <w:p w14:paraId="64D68F4F" w14:textId="4B1C256C" w:rsidR="00280FE8" w:rsidRPr="00280FE8" w:rsidRDefault="00280FE8" w:rsidP="00280FE8">
      <w:pPr>
        <w:sectPr w:rsidR="00280FE8" w:rsidRPr="00280FE8" w:rsidSect="004E6B67">
          <w:footerReference w:type="default" r:id="rId10"/>
          <w:endnotePr>
            <w:numFmt w:val="decimal"/>
          </w:endnotePr>
          <w:type w:val="continuous"/>
          <w:pgSz w:w="12240" w:h="15840"/>
          <w:pgMar w:top="1080" w:right="1440" w:bottom="1440" w:left="1440" w:header="0" w:footer="576" w:gutter="0"/>
          <w:pgNumType w:start="0"/>
          <w:cols w:space="720"/>
          <w:titlePg/>
          <w:docGrid w:linePitch="326"/>
        </w:sectPr>
      </w:pPr>
    </w:p>
    <w:p w14:paraId="4AC5C771" w14:textId="05BA6577" w:rsidR="00FB5EC4" w:rsidRPr="006A0C0F" w:rsidRDefault="00383087" w:rsidP="00383087">
      <w:pPr>
        <w:pStyle w:val="Title"/>
        <w:tabs>
          <w:tab w:val="left" w:pos="2550"/>
          <w:tab w:val="center" w:pos="4371"/>
        </w:tabs>
        <w:jc w:val="left"/>
      </w:pPr>
      <w:bookmarkStart w:id="2" w:name="_Toc374001774"/>
      <w:bookmarkStart w:id="3" w:name="_Toc408835441"/>
      <w:bookmarkStart w:id="4" w:name="_Toc61607290"/>
      <w:bookmarkStart w:id="5" w:name="_Toc347126876"/>
      <w:bookmarkStart w:id="6" w:name="_Toc347127145"/>
      <w:bookmarkStart w:id="7" w:name="_Toc350353602"/>
      <w:bookmarkStart w:id="8" w:name="_Toc379264716"/>
      <w:r>
        <w:rPr>
          <w:rStyle w:val="TitleChar"/>
          <w:b/>
          <w:bCs/>
        </w:rPr>
        <w:lastRenderedPageBreak/>
        <w:tab/>
      </w:r>
      <w:r>
        <w:rPr>
          <w:rStyle w:val="TitleChar"/>
          <w:b/>
          <w:bCs/>
        </w:rPr>
        <w:tab/>
      </w:r>
      <w:r w:rsidR="009F5D7E" w:rsidRPr="006A0C0F">
        <w:rPr>
          <w:noProof/>
          <w:lang w:val="en-US" w:eastAsia="en-US"/>
        </w:rPr>
        <w:drawing>
          <wp:anchor distT="0" distB="2220" distL="114300" distR="116520" simplePos="0" relativeHeight="251657728" behindDoc="1" locked="0" layoutInCell="1" allowOverlap="1" wp14:anchorId="08D643C7" wp14:editId="1EF2F02D">
            <wp:simplePos x="0" y="0"/>
            <wp:positionH relativeFrom="column">
              <wp:posOffset>-10160</wp:posOffset>
            </wp:positionH>
            <wp:positionV relativeFrom="paragraph">
              <wp:posOffset>-258445</wp:posOffset>
            </wp:positionV>
            <wp:extent cx="733425" cy="733425"/>
            <wp:effectExtent l="0" t="0" r="9525" b="9525"/>
            <wp:wrapSquare wrapText="bothSides"/>
            <wp:docPr id="304" name="Content Placeholde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ellipse">
                      <a:avLst/>
                    </a:prstGeom>
                    <a:noFill/>
                    <a:ln>
                      <a:noFill/>
                    </a:ln>
                    <a:extLst/>
                  </pic:spPr>
                </pic:pic>
              </a:graphicData>
            </a:graphic>
            <wp14:sizeRelH relativeFrom="page">
              <wp14:pctWidth>0</wp14:pctWidth>
            </wp14:sizeRelH>
            <wp14:sizeRelV relativeFrom="page">
              <wp14:pctHeight>0</wp14:pctHeight>
            </wp14:sizeRelV>
          </wp:anchor>
        </w:drawing>
      </w:r>
      <w:bookmarkEnd w:id="2"/>
      <w:bookmarkEnd w:id="3"/>
      <w:bookmarkEnd w:id="4"/>
      <w:r w:rsidR="00FB5EC4" w:rsidRPr="006A0C0F">
        <w:rPr>
          <w:rStyle w:val="TitleChar"/>
          <w:b/>
          <w:bCs/>
        </w:rPr>
        <w:t xml:space="preserve"> </w:t>
      </w:r>
      <w:bookmarkEnd w:id="0"/>
      <w:bookmarkEnd w:id="1"/>
      <w:bookmarkEnd w:id="5"/>
      <w:bookmarkEnd w:id="6"/>
      <w:bookmarkEnd w:id="7"/>
      <w:bookmarkEnd w:id="8"/>
    </w:p>
    <w:p w14:paraId="0438CE6F" w14:textId="279A72FA" w:rsidR="001E331F" w:rsidRDefault="001E331F" w:rsidP="001E331F">
      <w:bookmarkStart w:id="9" w:name="_Toc408835442"/>
      <w:bookmarkStart w:id="10" w:name="_Toc476660711"/>
    </w:p>
    <w:p w14:paraId="6B39B7F6" w14:textId="77777777" w:rsidR="00A40FA9" w:rsidRPr="001E331F" w:rsidRDefault="00A40FA9" w:rsidP="001E331F"/>
    <w:p w14:paraId="2907ADAB" w14:textId="508598D8" w:rsidR="00AA0E20" w:rsidRDefault="00A40FA9" w:rsidP="00060EBD">
      <w:pPr>
        <w:pStyle w:val="Heading1"/>
      </w:pPr>
      <w:bookmarkStart w:id="11" w:name="_Toc61607291"/>
      <w:r>
        <w:t xml:space="preserve">Table of </w:t>
      </w:r>
      <w:r w:rsidR="004E6B67" w:rsidRPr="00E01313">
        <w:t>Contents</w:t>
      </w:r>
      <w:bookmarkEnd w:id="9"/>
      <w:bookmarkEnd w:id="10"/>
      <w:bookmarkEnd w:id="11"/>
      <w:r w:rsidR="007A56D5" w:rsidRPr="00E01313">
        <w:t xml:space="preserve"> </w:t>
      </w:r>
      <w:r w:rsidR="00A7020B" w:rsidRPr="00E01313">
        <w:t xml:space="preserve">     </w:t>
      </w:r>
    </w:p>
    <w:p w14:paraId="2C530DDA" w14:textId="24E36D19" w:rsidR="00383087" w:rsidRDefault="00AA0E20">
      <w:pPr>
        <w:pStyle w:val="TOC1"/>
        <w:rPr>
          <w:rFonts w:asciiTheme="minorHAnsi" w:eastAsiaTheme="minorEastAsia" w:hAnsiTheme="minorHAnsi" w:cstheme="minorBidi"/>
          <w:noProof/>
          <w:sz w:val="22"/>
          <w:szCs w:val="22"/>
        </w:rPr>
      </w:pPr>
      <w:r>
        <w:fldChar w:fldCharType="begin"/>
      </w:r>
      <w:r>
        <w:instrText xml:space="preserve"> TOC \o "1-2" \h \z \u </w:instrText>
      </w:r>
      <w:r>
        <w:fldChar w:fldCharType="separate"/>
      </w:r>
    </w:p>
    <w:p w14:paraId="094723BD" w14:textId="6934AA28" w:rsidR="00383087" w:rsidRDefault="006356B0">
      <w:pPr>
        <w:pStyle w:val="TOC1"/>
        <w:rPr>
          <w:rFonts w:asciiTheme="minorHAnsi" w:eastAsiaTheme="minorEastAsia" w:hAnsiTheme="minorHAnsi" w:cstheme="minorBidi"/>
          <w:noProof/>
          <w:sz w:val="22"/>
          <w:szCs w:val="22"/>
        </w:rPr>
      </w:pPr>
      <w:hyperlink w:anchor="_Toc61607292" w:history="1">
        <w:r w:rsidR="00383087" w:rsidRPr="00952454">
          <w:rPr>
            <w:rStyle w:val="Hyperlink"/>
            <w:noProof/>
          </w:rPr>
          <w:t>Introduction</w:t>
        </w:r>
        <w:r w:rsidR="00383087">
          <w:rPr>
            <w:noProof/>
            <w:webHidden/>
          </w:rPr>
          <w:tab/>
        </w:r>
        <w:r w:rsidR="00383087">
          <w:rPr>
            <w:noProof/>
            <w:webHidden/>
          </w:rPr>
          <w:fldChar w:fldCharType="begin"/>
        </w:r>
        <w:r w:rsidR="00383087">
          <w:rPr>
            <w:noProof/>
            <w:webHidden/>
          </w:rPr>
          <w:instrText xml:space="preserve"> PAGEREF _Toc61607292 \h </w:instrText>
        </w:r>
        <w:r w:rsidR="00383087">
          <w:rPr>
            <w:noProof/>
            <w:webHidden/>
          </w:rPr>
        </w:r>
        <w:r w:rsidR="00383087">
          <w:rPr>
            <w:noProof/>
            <w:webHidden/>
          </w:rPr>
          <w:fldChar w:fldCharType="separate"/>
        </w:r>
        <w:r w:rsidR="00985052">
          <w:rPr>
            <w:noProof/>
            <w:webHidden/>
          </w:rPr>
          <w:t>2</w:t>
        </w:r>
        <w:r w:rsidR="00383087">
          <w:rPr>
            <w:noProof/>
            <w:webHidden/>
          </w:rPr>
          <w:fldChar w:fldCharType="end"/>
        </w:r>
      </w:hyperlink>
    </w:p>
    <w:p w14:paraId="0932BE57" w14:textId="4B0DAD2E" w:rsidR="00383087" w:rsidRDefault="006356B0">
      <w:pPr>
        <w:pStyle w:val="TOC1"/>
        <w:rPr>
          <w:rFonts w:asciiTheme="minorHAnsi" w:eastAsiaTheme="minorEastAsia" w:hAnsiTheme="minorHAnsi" w:cstheme="minorBidi"/>
          <w:noProof/>
          <w:sz w:val="22"/>
          <w:szCs w:val="22"/>
        </w:rPr>
      </w:pPr>
      <w:hyperlink w:anchor="_Toc61607293" w:history="1">
        <w:r w:rsidR="00383087" w:rsidRPr="00952454">
          <w:rPr>
            <w:rStyle w:val="Hyperlink"/>
            <w:noProof/>
          </w:rPr>
          <w:t>Characteristics of VI Professionals in Texas</w:t>
        </w:r>
        <w:r w:rsidR="00383087">
          <w:rPr>
            <w:noProof/>
            <w:webHidden/>
          </w:rPr>
          <w:tab/>
        </w:r>
        <w:r w:rsidR="00383087">
          <w:rPr>
            <w:noProof/>
            <w:webHidden/>
          </w:rPr>
          <w:fldChar w:fldCharType="begin"/>
        </w:r>
        <w:r w:rsidR="00383087">
          <w:rPr>
            <w:noProof/>
            <w:webHidden/>
          </w:rPr>
          <w:instrText xml:space="preserve"> PAGEREF _Toc61607293 \h </w:instrText>
        </w:r>
        <w:r w:rsidR="00383087">
          <w:rPr>
            <w:noProof/>
            <w:webHidden/>
          </w:rPr>
        </w:r>
        <w:r w:rsidR="00383087">
          <w:rPr>
            <w:noProof/>
            <w:webHidden/>
          </w:rPr>
          <w:fldChar w:fldCharType="separate"/>
        </w:r>
        <w:r w:rsidR="00985052">
          <w:rPr>
            <w:noProof/>
            <w:webHidden/>
          </w:rPr>
          <w:t>4</w:t>
        </w:r>
        <w:r w:rsidR="00383087">
          <w:rPr>
            <w:noProof/>
            <w:webHidden/>
          </w:rPr>
          <w:fldChar w:fldCharType="end"/>
        </w:r>
      </w:hyperlink>
    </w:p>
    <w:p w14:paraId="7ABCB750" w14:textId="79E38349" w:rsidR="00383087" w:rsidRDefault="006356B0">
      <w:pPr>
        <w:pStyle w:val="TOC2"/>
        <w:rPr>
          <w:rFonts w:asciiTheme="minorHAnsi" w:eastAsiaTheme="minorEastAsia" w:hAnsiTheme="minorHAnsi" w:cstheme="minorBidi"/>
          <w:noProof/>
          <w:sz w:val="22"/>
          <w:szCs w:val="22"/>
        </w:rPr>
      </w:pPr>
      <w:hyperlink w:anchor="_Toc61607294" w:history="1">
        <w:r w:rsidR="00383087" w:rsidRPr="00952454">
          <w:rPr>
            <w:rStyle w:val="Hyperlink"/>
            <w:noProof/>
          </w:rPr>
          <w:t>Number of VI professionals in Texas</w:t>
        </w:r>
        <w:r w:rsidR="00383087">
          <w:rPr>
            <w:noProof/>
            <w:webHidden/>
          </w:rPr>
          <w:tab/>
        </w:r>
        <w:r w:rsidR="00383087">
          <w:rPr>
            <w:noProof/>
            <w:webHidden/>
          </w:rPr>
          <w:fldChar w:fldCharType="begin"/>
        </w:r>
        <w:r w:rsidR="00383087">
          <w:rPr>
            <w:noProof/>
            <w:webHidden/>
          </w:rPr>
          <w:instrText xml:space="preserve"> PAGEREF _Toc61607294 \h </w:instrText>
        </w:r>
        <w:r w:rsidR="00383087">
          <w:rPr>
            <w:noProof/>
            <w:webHidden/>
          </w:rPr>
        </w:r>
        <w:r w:rsidR="00383087">
          <w:rPr>
            <w:noProof/>
            <w:webHidden/>
          </w:rPr>
          <w:fldChar w:fldCharType="separate"/>
        </w:r>
        <w:r w:rsidR="00985052">
          <w:rPr>
            <w:noProof/>
            <w:webHidden/>
          </w:rPr>
          <w:t>4</w:t>
        </w:r>
        <w:r w:rsidR="00383087">
          <w:rPr>
            <w:noProof/>
            <w:webHidden/>
          </w:rPr>
          <w:fldChar w:fldCharType="end"/>
        </w:r>
      </w:hyperlink>
    </w:p>
    <w:p w14:paraId="34D1829B" w14:textId="69DC0A0E" w:rsidR="00383087" w:rsidRDefault="006356B0">
      <w:pPr>
        <w:pStyle w:val="TOC2"/>
        <w:rPr>
          <w:rFonts w:asciiTheme="minorHAnsi" w:eastAsiaTheme="minorEastAsia" w:hAnsiTheme="minorHAnsi" w:cstheme="minorBidi"/>
          <w:noProof/>
          <w:sz w:val="22"/>
          <w:szCs w:val="22"/>
        </w:rPr>
      </w:pPr>
      <w:hyperlink w:anchor="_Toc61607295" w:history="1">
        <w:r w:rsidR="00383087" w:rsidRPr="00952454">
          <w:rPr>
            <w:rStyle w:val="Hyperlink"/>
            <w:noProof/>
          </w:rPr>
          <w:t>Part-time service providers</w:t>
        </w:r>
        <w:r w:rsidR="00383087">
          <w:rPr>
            <w:noProof/>
            <w:webHidden/>
          </w:rPr>
          <w:tab/>
        </w:r>
        <w:r w:rsidR="00383087">
          <w:rPr>
            <w:noProof/>
            <w:webHidden/>
          </w:rPr>
          <w:fldChar w:fldCharType="begin"/>
        </w:r>
        <w:r w:rsidR="00383087">
          <w:rPr>
            <w:noProof/>
            <w:webHidden/>
          </w:rPr>
          <w:instrText xml:space="preserve"> PAGEREF _Toc61607295 \h </w:instrText>
        </w:r>
        <w:r w:rsidR="00383087">
          <w:rPr>
            <w:noProof/>
            <w:webHidden/>
          </w:rPr>
        </w:r>
        <w:r w:rsidR="00383087">
          <w:rPr>
            <w:noProof/>
            <w:webHidden/>
          </w:rPr>
          <w:fldChar w:fldCharType="separate"/>
        </w:r>
        <w:r w:rsidR="00985052">
          <w:rPr>
            <w:noProof/>
            <w:webHidden/>
          </w:rPr>
          <w:t>8</w:t>
        </w:r>
        <w:r w:rsidR="00383087">
          <w:rPr>
            <w:noProof/>
            <w:webHidden/>
          </w:rPr>
          <w:fldChar w:fldCharType="end"/>
        </w:r>
      </w:hyperlink>
    </w:p>
    <w:p w14:paraId="648C489A" w14:textId="3056A6C3" w:rsidR="00383087" w:rsidRDefault="006356B0">
      <w:pPr>
        <w:pStyle w:val="TOC2"/>
        <w:rPr>
          <w:rFonts w:asciiTheme="minorHAnsi" w:eastAsiaTheme="minorEastAsia" w:hAnsiTheme="minorHAnsi" w:cstheme="minorBidi"/>
          <w:noProof/>
          <w:sz w:val="22"/>
          <w:szCs w:val="22"/>
        </w:rPr>
      </w:pPr>
      <w:hyperlink w:anchor="_Toc61607296" w:history="1">
        <w:r w:rsidR="00383087" w:rsidRPr="00952454">
          <w:rPr>
            <w:rStyle w:val="Hyperlink"/>
            <w:noProof/>
          </w:rPr>
          <w:t>Contract service providers</w:t>
        </w:r>
        <w:r w:rsidR="00383087">
          <w:rPr>
            <w:noProof/>
            <w:webHidden/>
          </w:rPr>
          <w:tab/>
        </w:r>
        <w:r w:rsidR="00383087">
          <w:rPr>
            <w:noProof/>
            <w:webHidden/>
          </w:rPr>
          <w:fldChar w:fldCharType="begin"/>
        </w:r>
        <w:r w:rsidR="00383087">
          <w:rPr>
            <w:noProof/>
            <w:webHidden/>
          </w:rPr>
          <w:instrText xml:space="preserve"> PAGEREF _Toc61607296 \h </w:instrText>
        </w:r>
        <w:r w:rsidR="00383087">
          <w:rPr>
            <w:noProof/>
            <w:webHidden/>
          </w:rPr>
        </w:r>
        <w:r w:rsidR="00383087">
          <w:rPr>
            <w:noProof/>
            <w:webHidden/>
          </w:rPr>
          <w:fldChar w:fldCharType="separate"/>
        </w:r>
        <w:r w:rsidR="00985052">
          <w:rPr>
            <w:noProof/>
            <w:webHidden/>
          </w:rPr>
          <w:t>9</w:t>
        </w:r>
        <w:r w:rsidR="00383087">
          <w:rPr>
            <w:noProof/>
            <w:webHidden/>
          </w:rPr>
          <w:fldChar w:fldCharType="end"/>
        </w:r>
      </w:hyperlink>
    </w:p>
    <w:p w14:paraId="74CA230B" w14:textId="7A145A08" w:rsidR="00383087" w:rsidRDefault="006356B0">
      <w:pPr>
        <w:pStyle w:val="TOC2"/>
        <w:rPr>
          <w:rFonts w:asciiTheme="minorHAnsi" w:eastAsiaTheme="minorEastAsia" w:hAnsiTheme="minorHAnsi" w:cstheme="minorBidi"/>
          <w:noProof/>
          <w:sz w:val="22"/>
          <w:szCs w:val="22"/>
        </w:rPr>
      </w:pPr>
      <w:hyperlink w:anchor="_Toc61607297" w:history="1">
        <w:r w:rsidR="00383087" w:rsidRPr="00952454">
          <w:rPr>
            <w:rStyle w:val="Hyperlink"/>
            <w:noProof/>
          </w:rPr>
          <w:t>Dually certified VI professionals</w:t>
        </w:r>
        <w:r w:rsidR="00383087">
          <w:rPr>
            <w:noProof/>
            <w:webHidden/>
          </w:rPr>
          <w:tab/>
        </w:r>
        <w:r w:rsidR="00383087">
          <w:rPr>
            <w:noProof/>
            <w:webHidden/>
          </w:rPr>
          <w:fldChar w:fldCharType="begin"/>
        </w:r>
        <w:r w:rsidR="00383087">
          <w:rPr>
            <w:noProof/>
            <w:webHidden/>
          </w:rPr>
          <w:instrText xml:space="preserve"> PAGEREF _Toc61607297 \h </w:instrText>
        </w:r>
        <w:r w:rsidR="00383087">
          <w:rPr>
            <w:noProof/>
            <w:webHidden/>
          </w:rPr>
        </w:r>
        <w:r w:rsidR="00383087">
          <w:rPr>
            <w:noProof/>
            <w:webHidden/>
          </w:rPr>
          <w:fldChar w:fldCharType="separate"/>
        </w:r>
        <w:r w:rsidR="00985052">
          <w:rPr>
            <w:noProof/>
            <w:webHidden/>
          </w:rPr>
          <w:t>9</w:t>
        </w:r>
        <w:r w:rsidR="00383087">
          <w:rPr>
            <w:noProof/>
            <w:webHidden/>
          </w:rPr>
          <w:fldChar w:fldCharType="end"/>
        </w:r>
      </w:hyperlink>
    </w:p>
    <w:p w14:paraId="09AF5ACE" w14:textId="12044BD1" w:rsidR="00383087" w:rsidRDefault="006356B0">
      <w:pPr>
        <w:pStyle w:val="TOC2"/>
        <w:rPr>
          <w:rFonts w:asciiTheme="minorHAnsi" w:eastAsiaTheme="minorEastAsia" w:hAnsiTheme="minorHAnsi" w:cstheme="minorBidi"/>
          <w:noProof/>
          <w:sz w:val="22"/>
          <w:szCs w:val="22"/>
        </w:rPr>
      </w:pPr>
      <w:hyperlink w:anchor="_Toc61607298" w:history="1">
        <w:r w:rsidR="00383087" w:rsidRPr="00952454">
          <w:rPr>
            <w:rStyle w:val="Hyperlink"/>
            <w:noProof/>
          </w:rPr>
          <w:t>Direct services provided by ESCs</w:t>
        </w:r>
        <w:r w:rsidR="00383087">
          <w:rPr>
            <w:noProof/>
            <w:webHidden/>
          </w:rPr>
          <w:tab/>
        </w:r>
        <w:r w:rsidR="00383087">
          <w:rPr>
            <w:noProof/>
            <w:webHidden/>
          </w:rPr>
          <w:fldChar w:fldCharType="begin"/>
        </w:r>
        <w:r w:rsidR="00383087">
          <w:rPr>
            <w:noProof/>
            <w:webHidden/>
          </w:rPr>
          <w:instrText xml:space="preserve"> PAGEREF _Toc61607298 \h </w:instrText>
        </w:r>
        <w:r w:rsidR="00383087">
          <w:rPr>
            <w:noProof/>
            <w:webHidden/>
          </w:rPr>
        </w:r>
        <w:r w:rsidR="00383087">
          <w:rPr>
            <w:noProof/>
            <w:webHidden/>
          </w:rPr>
          <w:fldChar w:fldCharType="separate"/>
        </w:r>
        <w:r w:rsidR="00985052">
          <w:rPr>
            <w:noProof/>
            <w:webHidden/>
          </w:rPr>
          <w:t>10</w:t>
        </w:r>
        <w:r w:rsidR="00383087">
          <w:rPr>
            <w:noProof/>
            <w:webHidden/>
          </w:rPr>
          <w:fldChar w:fldCharType="end"/>
        </w:r>
      </w:hyperlink>
    </w:p>
    <w:p w14:paraId="273B436A" w14:textId="47038732" w:rsidR="00383087" w:rsidRDefault="006356B0">
      <w:pPr>
        <w:pStyle w:val="TOC2"/>
        <w:rPr>
          <w:rFonts w:asciiTheme="minorHAnsi" w:eastAsiaTheme="minorEastAsia" w:hAnsiTheme="minorHAnsi" w:cstheme="minorBidi"/>
          <w:noProof/>
          <w:sz w:val="22"/>
          <w:szCs w:val="22"/>
        </w:rPr>
      </w:pPr>
      <w:hyperlink w:anchor="_Toc61607299" w:history="1">
        <w:r w:rsidR="00383087" w:rsidRPr="00952454">
          <w:rPr>
            <w:rStyle w:val="Hyperlink"/>
            <w:noProof/>
          </w:rPr>
          <w:t>Overall perceptions of caseloads</w:t>
        </w:r>
        <w:r w:rsidR="00383087">
          <w:rPr>
            <w:noProof/>
            <w:webHidden/>
          </w:rPr>
          <w:tab/>
        </w:r>
        <w:r w:rsidR="00383087">
          <w:rPr>
            <w:noProof/>
            <w:webHidden/>
          </w:rPr>
          <w:fldChar w:fldCharType="begin"/>
        </w:r>
        <w:r w:rsidR="00383087">
          <w:rPr>
            <w:noProof/>
            <w:webHidden/>
          </w:rPr>
          <w:instrText xml:space="preserve"> PAGEREF _Toc61607299 \h </w:instrText>
        </w:r>
        <w:r w:rsidR="00383087">
          <w:rPr>
            <w:noProof/>
            <w:webHidden/>
          </w:rPr>
        </w:r>
        <w:r w:rsidR="00383087">
          <w:rPr>
            <w:noProof/>
            <w:webHidden/>
          </w:rPr>
          <w:fldChar w:fldCharType="separate"/>
        </w:r>
        <w:r w:rsidR="00985052">
          <w:rPr>
            <w:noProof/>
            <w:webHidden/>
          </w:rPr>
          <w:t>11</w:t>
        </w:r>
        <w:r w:rsidR="00383087">
          <w:rPr>
            <w:noProof/>
            <w:webHidden/>
          </w:rPr>
          <w:fldChar w:fldCharType="end"/>
        </w:r>
      </w:hyperlink>
    </w:p>
    <w:p w14:paraId="2796044A" w14:textId="0C192D3A" w:rsidR="00383087" w:rsidRDefault="006356B0">
      <w:pPr>
        <w:pStyle w:val="TOC2"/>
        <w:rPr>
          <w:rFonts w:asciiTheme="minorHAnsi" w:eastAsiaTheme="minorEastAsia" w:hAnsiTheme="minorHAnsi" w:cstheme="minorBidi"/>
          <w:noProof/>
          <w:sz w:val="22"/>
          <w:szCs w:val="22"/>
        </w:rPr>
      </w:pPr>
      <w:hyperlink w:anchor="_Toc61607300" w:history="1">
        <w:r w:rsidR="00383087" w:rsidRPr="00952454">
          <w:rPr>
            <w:rStyle w:val="Hyperlink"/>
            <w:noProof/>
          </w:rPr>
          <w:t>Cultural diversity</w:t>
        </w:r>
        <w:r w:rsidR="00383087">
          <w:rPr>
            <w:noProof/>
            <w:webHidden/>
          </w:rPr>
          <w:tab/>
        </w:r>
        <w:r w:rsidR="00383087">
          <w:rPr>
            <w:noProof/>
            <w:webHidden/>
          </w:rPr>
          <w:fldChar w:fldCharType="begin"/>
        </w:r>
        <w:r w:rsidR="00383087">
          <w:rPr>
            <w:noProof/>
            <w:webHidden/>
          </w:rPr>
          <w:instrText xml:space="preserve"> PAGEREF _Toc61607300 \h </w:instrText>
        </w:r>
        <w:r w:rsidR="00383087">
          <w:rPr>
            <w:noProof/>
            <w:webHidden/>
          </w:rPr>
        </w:r>
        <w:r w:rsidR="00383087">
          <w:rPr>
            <w:noProof/>
            <w:webHidden/>
          </w:rPr>
          <w:fldChar w:fldCharType="separate"/>
        </w:r>
        <w:r w:rsidR="00985052">
          <w:rPr>
            <w:noProof/>
            <w:webHidden/>
          </w:rPr>
          <w:t>11</w:t>
        </w:r>
        <w:r w:rsidR="00383087">
          <w:rPr>
            <w:noProof/>
            <w:webHidden/>
          </w:rPr>
          <w:fldChar w:fldCharType="end"/>
        </w:r>
      </w:hyperlink>
    </w:p>
    <w:p w14:paraId="412F4900" w14:textId="4A855575" w:rsidR="00383087" w:rsidRDefault="006356B0">
      <w:pPr>
        <w:pStyle w:val="TOC2"/>
        <w:rPr>
          <w:rFonts w:asciiTheme="minorHAnsi" w:eastAsiaTheme="minorEastAsia" w:hAnsiTheme="minorHAnsi" w:cstheme="minorBidi"/>
          <w:noProof/>
          <w:sz w:val="22"/>
          <w:szCs w:val="22"/>
        </w:rPr>
      </w:pPr>
      <w:hyperlink w:anchor="_Toc61607301" w:history="1">
        <w:r w:rsidR="00383087" w:rsidRPr="00952454">
          <w:rPr>
            <w:rStyle w:val="Hyperlink"/>
            <w:noProof/>
          </w:rPr>
          <w:t>VI professionals who have a visual impairment</w:t>
        </w:r>
        <w:r w:rsidR="00383087">
          <w:rPr>
            <w:noProof/>
            <w:webHidden/>
          </w:rPr>
          <w:tab/>
        </w:r>
        <w:r w:rsidR="00383087">
          <w:rPr>
            <w:noProof/>
            <w:webHidden/>
          </w:rPr>
          <w:fldChar w:fldCharType="begin"/>
        </w:r>
        <w:r w:rsidR="00383087">
          <w:rPr>
            <w:noProof/>
            <w:webHidden/>
          </w:rPr>
          <w:instrText xml:space="preserve"> PAGEREF _Toc61607301 \h </w:instrText>
        </w:r>
        <w:r w:rsidR="00383087">
          <w:rPr>
            <w:noProof/>
            <w:webHidden/>
          </w:rPr>
        </w:r>
        <w:r w:rsidR="00383087">
          <w:rPr>
            <w:noProof/>
            <w:webHidden/>
          </w:rPr>
          <w:fldChar w:fldCharType="separate"/>
        </w:r>
        <w:r w:rsidR="00985052">
          <w:rPr>
            <w:noProof/>
            <w:webHidden/>
          </w:rPr>
          <w:t>12</w:t>
        </w:r>
        <w:r w:rsidR="00383087">
          <w:rPr>
            <w:noProof/>
            <w:webHidden/>
          </w:rPr>
          <w:fldChar w:fldCharType="end"/>
        </w:r>
      </w:hyperlink>
    </w:p>
    <w:p w14:paraId="4E104EBB" w14:textId="5720019F" w:rsidR="00383087" w:rsidRDefault="006356B0">
      <w:pPr>
        <w:pStyle w:val="TOC1"/>
        <w:rPr>
          <w:rFonts w:asciiTheme="minorHAnsi" w:eastAsiaTheme="minorEastAsia" w:hAnsiTheme="minorHAnsi" w:cstheme="minorBidi"/>
          <w:noProof/>
          <w:sz w:val="22"/>
          <w:szCs w:val="22"/>
        </w:rPr>
      </w:pPr>
      <w:hyperlink w:anchor="_Toc61607302" w:history="1">
        <w:r w:rsidR="00383087" w:rsidRPr="00952454">
          <w:rPr>
            <w:rStyle w:val="Hyperlink"/>
            <w:noProof/>
          </w:rPr>
          <w:t>Growth in Population of Students with Visual Impairments and Impact on VI Professionals</w:t>
        </w:r>
        <w:r w:rsidR="00383087">
          <w:rPr>
            <w:noProof/>
            <w:webHidden/>
          </w:rPr>
          <w:tab/>
        </w:r>
        <w:r w:rsidR="00383087">
          <w:rPr>
            <w:noProof/>
            <w:webHidden/>
          </w:rPr>
          <w:fldChar w:fldCharType="begin"/>
        </w:r>
        <w:r w:rsidR="00383087">
          <w:rPr>
            <w:noProof/>
            <w:webHidden/>
          </w:rPr>
          <w:instrText xml:space="preserve"> PAGEREF _Toc61607302 \h </w:instrText>
        </w:r>
        <w:r w:rsidR="00383087">
          <w:rPr>
            <w:noProof/>
            <w:webHidden/>
          </w:rPr>
        </w:r>
        <w:r w:rsidR="00383087">
          <w:rPr>
            <w:noProof/>
            <w:webHidden/>
          </w:rPr>
          <w:fldChar w:fldCharType="separate"/>
        </w:r>
        <w:r w:rsidR="00985052">
          <w:rPr>
            <w:noProof/>
            <w:webHidden/>
          </w:rPr>
          <w:t>14</w:t>
        </w:r>
        <w:r w:rsidR="00383087">
          <w:rPr>
            <w:noProof/>
            <w:webHidden/>
          </w:rPr>
          <w:fldChar w:fldCharType="end"/>
        </w:r>
      </w:hyperlink>
    </w:p>
    <w:p w14:paraId="62A92B95" w14:textId="303F106A" w:rsidR="00383087" w:rsidRDefault="006356B0">
      <w:pPr>
        <w:pStyle w:val="TOC2"/>
        <w:rPr>
          <w:rFonts w:asciiTheme="minorHAnsi" w:eastAsiaTheme="minorEastAsia" w:hAnsiTheme="minorHAnsi" w:cstheme="minorBidi"/>
          <w:noProof/>
          <w:sz w:val="22"/>
          <w:szCs w:val="22"/>
        </w:rPr>
      </w:pPr>
      <w:hyperlink w:anchor="_Toc61607303" w:history="1">
        <w:r w:rsidR="00383087" w:rsidRPr="00952454">
          <w:rPr>
            <w:rStyle w:val="Hyperlink"/>
            <w:noProof/>
          </w:rPr>
          <w:t>Impact on teachers of students with visual impairments</w:t>
        </w:r>
        <w:r w:rsidR="00383087">
          <w:rPr>
            <w:noProof/>
            <w:webHidden/>
          </w:rPr>
          <w:tab/>
        </w:r>
        <w:r w:rsidR="00383087">
          <w:rPr>
            <w:noProof/>
            <w:webHidden/>
          </w:rPr>
          <w:fldChar w:fldCharType="begin"/>
        </w:r>
        <w:r w:rsidR="00383087">
          <w:rPr>
            <w:noProof/>
            <w:webHidden/>
          </w:rPr>
          <w:instrText xml:space="preserve"> PAGEREF _Toc61607303 \h </w:instrText>
        </w:r>
        <w:r w:rsidR="00383087">
          <w:rPr>
            <w:noProof/>
            <w:webHidden/>
          </w:rPr>
        </w:r>
        <w:r w:rsidR="00383087">
          <w:rPr>
            <w:noProof/>
            <w:webHidden/>
          </w:rPr>
          <w:fldChar w:fldCharType="separate"/>
        </w:r>
        <w:r w:rsidR="00985052">
          <w:rPr>
            <w:noProof/>
            <w:webHidden/>
          </w:rPr>
          <w:t>14</w:t>
        </w:r>
        <w:r w:rsidR="00383087">
          <w:rPr>
            <w:noProof/>
            <w:webHidden/>
          </w:rPr>
          <w:fldChar w:fldCharType="end"/>
        </w:r>
      </w:hyperlink>
    </w:p>
    <w:p w14:paraId="0EF9D031" w14:textId="14B589D3" w:rsidR="00383087" w:rsidRDefault="006356B0">
      <w:pPr>
        <w:pStyle w:val="TOC2"/>
        <w:rPr>
          <w:rFonts w:asciiTheme="minorHAnsi" w:eastAsiaTheme="minorEastAsia" w:hAnsiTheme="minorHAnsi" w:cstheme="minorBidi"/>
          <w:noProof/>
          <w:sz w:val="22"/>
          <w:szCs w:val="22"/>
        </w:rPr>
      </w:pPr>
      <w:hyperlink w:anchor="_Toc61607304" w:history="1">
        <w:r w:rsidR="00383087" w:rsidRPr="00952454">
          <w:rPr>
            <w:rStyle w:val="Hyperlink"/>
            <w:noProof/>
          </w:rPr>
          <w:t>Impact on O&amp;M specialists</w:t>
        </w:r>
        <w:r w:rsidR="00383087">
          <w:rPr>
            <w:noProof/>
            <w:webHidden/>
          </w:rPr>
          <w:tab/>
        </w:r>
        <w:r w:rsidR="00383087">
          <w:rPr>
            <w:noProof/>
            <w:webHidden/>
          </w:rPr>
          <w:fldChar w:fldCharType="begin"/>
        </w:r>
        <w:r w:rsidR="00383087">
          <w:rPr>
            <w:noProof/>
            <w:webHidden/>
          </w:rPr>
          <w:instrText xml:space="preserve"> PAGEREF _Toc61607304 \h </w:instrText>
        </w:r>
        <w:r w:rsidR="00383087">
          <w:rPr>
            <w:noProof/>
            <w:webHidden/>
          </w:rPr>
        </w:r>
        <w:r w:rsidR="00383087">
          <w:rPr>
            <w:noProof/>
            <w:webHidden/>
          </w:rPr>
          <w:fldChar w:fldCharType="separate"/>
        </w:r>
        <w:r w:rsidR="00985052">
          <w:rPr>
            <w:noProof/>
            <w:webHidden/>
          </w:rPr>
          <w:t>15</w:t>
        </w:r>
        <w:r w:rsidR="00383087">
          <w:rPr>
            <w:noProof/>
            <w:webHidden/>
          </w:rPr>
          <w:fldChar w:fldCharType="end"/>
        </w:r>
      </w:hyperlink>
    </w:p>
    <w:p w14:paraId="20B4B235" w14:textId="11B3F43F" w:rsidR="00383087" w:rsidRDefault="006356B0">
      <w:pPr>
        <w:pStyle w:val="TOC2"/>
        <w:rPr>
          <w:rFonts w:asciiTheme="minorHAnsi" w:eastAsiaTheme="minorEastAsia" w:hAnsiTheme="minorHAnsi" w:cstheme="minorBidi"/>
          <w:noProof/>
          <w:sz w:val="22"/>
          <w:szCs w:val="22"/>
        </w:rPr>
      </w:pPr>
      <w:hyperlink w:anchor="_Toc61607305" w:history="1">
        <w:r w:rsidR="00383087" w:rsidRPr="00952454">
          <w:rPr>
            <w:rStyle w:val="Hyperlink"/>
            <w:noProof/>
          </w:rPr>
          <w:t>Variance in growth of students with visual impairments and O&amp;M services</w:t>
        </w:r>
        <w:r w:rsidR="00383087">
          <w:rPr>
            <w:noProof/>
            <w:webHidden/>
          </w:rPr>
          <w:tab/>
        </w:r>
        <w:r w:rsidR="00383087">
          <w:rPr>
            <w:noProof/>
            <w:webHidden/>
          </w:rPr>
          <w:fldChar w:fldCharType="begin"/>
        </w:r>
        <w:r w:rsidR="00383087">
          <w:rPr>
            <w:noProof/>
            <w:webHidden/>
          </w:rPr>
          <w:instrText xml:space="preserve"> PAGEREF _Toc61607305 \h </w:instrText>
        </w:r>
        <w:r w:rsidR="00383087">
          <w:rPr>
            <w:noProof/>
            <w:webHidden/>
          </w:rPr>
        </w:r>
        <w:r w:rsidR="00383087">
          <w:rPr>
            <w:noProof/>
            <w:webHidden/>
          </w:rPr>
          <w:fldChar w:fldCharType="separate"/>
        </w:r>
        <w:r w:rsidR="00985052">
          <w:rPr>
            <w:noProof/>
            <w:webHidden/>
          </w:rPr>
          <w:t>15</w:t>
        </w:r>
        <w:r w:rsidR="00383087">
          <w:rPr>
            <w:noProof/>
            <w:webHidden/>
          </w:rPr>
          <w:fldChar w:fldCharType="end"/>
        </w:r>
      </w:hyperlink>
    </w:p>
    <w:p w14:paraId="4F255CE4" w14:textId="078239C1" w:rsidR="00383087" w:rsidRDefault="006356B0">
      <w:pPr>
        <w:pStyle w:val="TOC1"/>
        <w:rPr>
          <w:rFonts w:asciiTheme="minorHAnsi" w:eastAsiaTheme="minorEastAsia" w:hAnsiTheme="minorHAnsi" w:cstheme="minorBidi"/>
          <w:noProof/>
          <w:sz w:val="22"/>
          <w:szCs w:val="22"/>
        </w:rPr>
      </w:pPr>
      <w:hyperlink w:anchor="_Toc61607306" w:history="1">
        <w:r w:rsidR="00383087" w:rsidRPr="00952454">
          <w:rPr>
            <w:rStyle w:val="Hyperlink"/>
            <w:noProof/>
          </w:rPr>
          <w:t>Attrition</w:t>
        </w:r>
        <w:r w:rsidR="00383087">
          <w:rPr>
            <w:noProof/>
            <w:webHidden/>
          </w:rPr>
          <w:tab/>
        </w:r>
        <w:r w:rsidR="00383087">
          <w:rPr>
            <w:noProof/>
            <w:webHidden/>
          </w:rPr>
          <w:fldChar w:fldCharType="begin"/>
        </w:r>
        <w:r w:rsidR="00383087">
          <w:rPr>
            <w:noProof/>
            <w:webHidden/>
          </w:rPr>
          <w:instrText xml:space="preserve"> PAGEREF _Toc61607306 \h </w:instrText>
        </w:r>
        <w:r w:rsidR="00383087">
          <w:rPr>
            <w:noProof/>
            <w:webHidden/>
          </w:rPr>
        </w:r>
        <w:r w:rsidR="00383087">
          <w:rPr>
            <w:noProof/>
            <w:webHidden/>
          </w:rPr>
          <w:fldChar w:fldCharType="separate"/>
        </w:r>
        <w:r w:rsidR="00985052">
          <w:rPr>
            <w:noProof/>
            <w:webHidden/>
          </w:rPr>
          <w:t>16</w:t>
        </w:r>
        <w:r w:rsidR="00383087">
          <w:rPr>
            <w:noProof/>
            <w:webHidden/>
          </w:rPr>
          <w:fldChar w:fldCharType="end"/>
        </w:r>
      </w:hyperlink>
    </w:p>
    <w:p w14:paraId="67697529" w14:textId="3A3253DE" w:rsidR="00383087" w:rsidRDefault="006356B0">
      <w:pPr>
        <w:pStyle w:val="TOC2"/>
        <w:rPr>
          <w:rFonts w:asciiTheme="minorHAnsi" w:eastAsiaTheme="minorEastAsia" w:hAnsiTheme="minorHAnsi" w:cstheme="minorBidi"/>
          <w:noProof/>
          <w:sz w:val="22"/>
          <w:szCs w:val="22"/>
        </w:rPr>
      </w:pPr>
      <w:hyperlink w:anchor="_Toc61607307" w:history="1">
        <w:r w:rsidR="00383087" w:rsidRPr="00952454">
          <w:rPr>
            <w:rStyle w:val="Hyperlink"/>
            <w:noProof/>
          </w:rPr>
          <w:t>Attrition factors</w:t>
        </w:r>
        <w:r w:rsidR="00383087">
          <w:rPr>
            <w:noProof/>
            <w:webHidden/>
          </w:rPr>
          <w:tab/>
        </w:r>
        <w:r w:rsidR="00383087">
          <w:rPr>
            <w:noProof/>
            <w:webHidden/>
          </w:rPr>
          <w:fldChar w:fldCharType="begin"/>
        </w:r>
        <w:r w:rsidR="00383087">
          <w:rPr>
            <w:noProof/>
            <w:webHidden/>
          </w:rPr>
          <w:instrText xml:space="preserve"> PAGEREF _Toc61607307 \h </w:instrText>
        </w:r>
        <w:r w:rsidR="00383087">
          <w:rPr>
            <w:noProof/>
            <w:webHidden/>
          </w:rPr>
        </w:r>
        <w:r w:rsidR="00383087">
          <w:rPr>
            <w:noProof/>
            <w:webHidden/>
          </w:rPr>
          <w:fldChar w:fldCharType="separate"/>
        </w:r>
        <w:r w:rsidR="00985052">
          <w:rPr>
            <w:noProof/>
            <w:webHidden/>
          </w:rPr>
          <w:t>16</w:t>
        </w:r>
        <w:r w:rsidR="00383087">
          <w:rPr>
            <w:noProof/>
            <w:webHidden/>
          </w:rPr>
          <w:fldChar w:fldCharType="end"/>
        </w:r>
      </w:hyperlink>
    </w:p>
    <w:p w14:paraId="53C09A08" w14:textId="1A43D0E5" w:rsidR="00383087" w:rsidRDefault="006356B0">
      <w:pPr>
        <w:pStyle w:val="TOC2"/>
        <w:rPr>
          <w:rFonts w:asciiTheme="minorHAnsi" w:eastAsiaTheme="minorEastAsia" w:hAnsiTheme="minorHAnsi" w:cstheme="minorBidi"/>
          <w:noProof/>
          <w:sz w:val="22"/>
          <w:szCs w:val="22"/>
        </w:rPr>
      </w:pPr>
      <w:hyperlink w:anchor="_Toc61607308" w:history="1">
        <w:r w:rsidR="00383087" w:rsidRPr="00952454">
          <w:rPr>
            <w:rStyle w:val="Hyperlink"/>
            <w:noProof/>
          </w:rPr>
          <w:t>Projected 3-year attrition</w:t>
        </w:r>
        <w:r w:rsidR="00383087">
          <w:rPr>
            <w:noProof/>
            <w:webHidden/>
          </w:rPr>
          <w:tab/>
        </w:r>
        <w:r w:rsidR="00383087">
          <w:rPr>
            <w:noProof/>
            <w:webHidden/>
          </w:rPr>
          <w:fldChar w:fldCharType="begin"/>
        </w:r>
        <w:r w:rsidR="00383087">
          <w:rPr>
            <w:noProof/>
            <w:webHidden/>
          </w:rPr>
          <w:instrText xml:space="preserve"> PAGEREF _Toc61607308 \h </w:instrText>
        </w:r>
        <w:r w:rsidR="00383087">
          <w:rPr>
            <w:noProof/>
            <w:webHidden/>
          </w:rPr>
        </w:r>
        <w:r w:rsidR="00383087">
          <w:rPr>
            <w:noProof/>
            <w:webHidden/>
          </w:rPr>
          <w:fldChar w:fldCharType="separate"/>
        </w:r>
        <w:r w:rsidR="00985052">
          <w:rPr>
            <w:noProof/>
            <w:webHidden/>
          </w:rPr>
          <w:t>17</w:t>
        </w:r>
        <w:r w:rsidR="00383087">
          <w:rPr>
            <w:noProof/>
            <w:webHidden/>
          </w:rPr>
          <w:fldChar w:fldCharType="end"/>
        </w:r>
      </w:hyperlink>
    </w:p>
    <w:p w14:paraId="1EE21394" w14:textId="55CF33B9" w:rsidR="00383087" w:rsidRDefault="006356B0">
      <w:pPr>
        <w:pStyle w:val="TOC2"/>
        <w:rPr>
          <w:rFonts w:asciiTheme="minorHAnsi" w:eastAsiaTheme="minorEastAsia" w:hAnsiTheme="minorHAnsi" w:cstheme="minorBidi"/>
          <w:noProof/>
          <w:sz w:val="22"/>
          <w:szCs w:val="22"/>
        </w:rPr>
      </w:pPr>
      <w:hyperlink w:anchor="_Toc61607309" w:history="1">
        <w:r w:rsidR="00383087" w:rsidRPr="00952454">
          <w:rPr>
            <w:rStyle w:val="Hyperlink"/>
            <w:noProof/>
          </w:rPr>
          <w:t>Projected vs. actual attrition</w:t>
        </w:r>
        <w:r w:rsidR="00383087">
          <w:rPr>
            <w:noProof/>
            <w:webHidden/>
          </w:rPr>
          <w:tab/>
        </w:r>
        <w:r w:rsidR="00383087">
          <w:rPr>
            <w:noProof/>
            <w:webHidden/>
          </w:rPr>
          <w:fldChar w:fldCharType="begin"/>
        </w:r>
        <w:r w:rsidR="00383087">
          <w:rPr>
            <w:noProof/>
            <w:webHidden/>
          </w:rPr>
          <w:instrText xml:space="preserve"> PAGEREF _Toc61607309 \h </w:instrText>
        </w:r>
        <w:r w:rsidR="00383087">
          <w:rPr>
            <w:noProof/>
            <w:webHidden/>
          </w:rPr>
        </w:r>
        <w:r w:rsidR="00383087">
          <w:rPr>
            <w:noProof/>
            <w:webHidden/>
          </w:rPr>
          <w:fldChar w:fldCharType="separate"/>
        </w:r>
        <w:r w:rsidR="00985052">
          <w:rPr>
            <w:noProof/>
            <w:webHidden/>
          </w:rPr>
          <w:t>18</w:t>
        </w:r>
        <w:r w:rsidR="00383087">
          <w:rPr>
            <w:noProof/>
            <w:webHidden/>
          </w:rPr>
          <w:fldChar w:fldCharType="end"/>
        </w:r>
      </w:hyperlink>
    </w:p>
    <w:p w14:paraId="6215D31B" w14:textId="6580BE2F" w:rsidR="00383087" w:rsidRDefault="006356B0">
      <w:pPr>
        <w:pStyle w:val="TOC1"/>
        <w:rPr>
          <w:rFonts w:asciiTheme="minorHAnsi" w:eastAsiaTheme="minorEastAsia" w:hAnsiTheme="minorHAnsi" w:cstheme="minorBidi"/>
          <w:noProof/>
          <w:sz w:val="22"/>
          <w:szCs w:val="22"/>
        </w:rPr>
      </w:pPr>
      <w:hyperlink w:anchor="_Toc61607310" w:history="1">
        <w:r w:rsidR="00383087" w:rsidRPr="00952454">
          <w:rPr>
            <w:rStyle w:val="Hyperlink"/>
            <w:noProof/>
          </w:rPr>
          <w:t>Anticipated Need</w:t>
        </w:r>
        <w:r w:rsidR="00383087">
          <w:rPr>
            <w:noProof/>
            <w:webHidden/>
          </w:rPr>
          <w:tab/>
        </w:r>
        <w:r w:rsidR="00383087">
          <w:rPr>
            <w:noProof/>
            <w:webHidden/>
          </w:rPr>
          <w:fldChar w:fldCharType="begin"/>
        </w:r>
        <w:r w:rsidR="00383087">
          <w:rPr>
            <w:noProof/>
            <w:webHidden/>
          </w:rPr>
          <w:instrText xml:space="preserve"> PAGEREF _Toc61607310 \h </w:instrText>
        </w:r>
        <w:r w:rsidR="00383087">
          <w:rPr>
            <w:noProof/>
            <w:webHidden/>
          </w:rPr>
        </w:r>
        <w:r w:rsidR="00383087">
          <w:rPr>
            <w:noProof/>
            <w:webHidden/>
          </w:rPr>
          <w:fldChar w:fldCharType="separate"/>
        </w:r>
        <w:r w:rsidR="00985052">
          <w:rPr>
            <w:noProof/>
            <w:webHidden/>
          </w:rPr>
          <w:t>19</w:t>
        </w:r>
        <w:r w:rsidR="00383087">
          <w:rPr>
            <w:noProof/>
            <w:webHidden/>
          </w:rPr>
          <w:fldChar w:fldCharType="end"/>
        </w:r>
      </w:hyperlink>
    </w:p>
    <w:p w14:paraId="7A509171" w14:textId="668E59D0" w:rsidR="00383087" w:rsidRDefault="006356B0">
      <w:pPr>
        <w:pStyle w:val="TOC2"/>
        <w:rPr>
          <w:rFonts w:asciiTheme="minorHAnsi" w:eastAsiaTheme="minorEastAsia" w:hAnsiTheme="minorHAnsi" w:cstheme="minorBidi"/>
          <w:noProof/>
          <w:sz w:val="22"/>
          <w:szCs w:val="22"/>
        </w:rPr>
      </w:pPr>
      <w:hyperlink w:anchor="_Toc61607311" w:history="1">
        <w:r w:rsidR="00383087" w:rsidRPr="00952454">
          <w:rPr>
            <w:rStyle w:val="Hyperlink"/>
            <w:noProof/>
          </w:rPr>
          <w:t>Posted positions</w:t>
        </w:r>
        <w:r w:rsidR="00383087">
          <w:rPr>
            <w:noProof/>
            <w:webHidden/>
          </w:rPr>
          <w:tab/>
        </w:r>
        <w:r w:rsidR="00383087">
          <w:rPr>
            <w:noProof/>
            <w:webHidden/>
          </w:rPr>
          <w:fldChar w:fldCharType="begin"/>
        </w:r>
        <w:r w:rsidR="00383087">
          <w:rPr>
            <w:noProof/>
            <w:webHidden/>
          </w:rPr>
          <w:instrText xml:space="preserve"> PAGEREF _Toc61607311 \h </w:instrText>
        </w:r>
        <w:r w:rsidR="00383087">
          <w:rPr>
            <w:noProof/>
            <w:webHidden/>
          </w:rPr>
        </w:r>
        <w:r w:rsidR="00383087">
          <w:rPr>
            <w:noProof/>
            <w:webHidden/>
          </w:rPr>
          <w:fldChar w:fldCharType="separate"/>
        </w:r>
        <w:r w:rsidR="00985052">
          <w:rPr>
            <w:noProof/>
            <w:webHidden/>
          </w:rPr>
          <w:t>19</w:t>
        </w:r>
        <w:r w:rsidR="00383087">
          <w:rPr>
            <w:noProof/>
            <w:webHidden/>
          </w:rPr>
          <w:fldChar w:fldCharType="end"/>
        </w:r>
      </w:hyperlink>
    </w:p>
    <w:p w14:paraId="7FE885B2" w14:textId="0CDCF335" w:rsidR="00383087" w:rsidRDefault="006356B0">
      <w:pPr>
        <w:pStyle w:val="TOC2"/>
        <w:rPr>
          <w:rFonts w:asciiTheme="minorHAnsi" w:eastAsiaTheme="minorEastAsia" w:hAnsiTheme="minorHAnsi" w:cstheme="minorBidi"/>
          <w:noProof/>
          <w:sz w:val="22"/>
          <w:szCs w:val="22"/>
        </w:rPr>
      </w:pPr>
      <w:hyperlink w:anchor="_Toc61607312" w:history="1">
        <w:r w:rsidR="00383087" w:rsidRPr="00952454">
          <w:rPr>
            <w:rStyle w:val="Hyperlink"/>
            <w:noProof/>
          </w:rPr>
          <w:t>Recommendations by knowledgeable professionals</w:t>
        </w:r>
        <w:r w:rsidR="00383087">
          <w:rPr>
            <w:noProof/>
            <w:webHidden/>
          </w:rPr>
          <w:tab/>
        </w:r>
        <w:r w:rsidR="00383087">
          <w:rPr>
            <w:noProof/>
            <w:webHidden/>
          </w:rPr>
          <w:fldChar w:fldCharType="begin"/>
        </w:r>
        <w:r w:rsidR="00383087">
          <w:rPr>
            <w:noProof/>
            <w:webHidden/>
          </w:rPr>
          <w:instrText xml:space="preserve"> PAGEREF _Toc61607312 \h </w:instrText>
        </w:r>
        <w:r w:rsidR="00383087">
          <w:rPr>
            <w:noProof/>
            <w:webHidden/>
          </w:rPr>
        </w:r>
        <w:r w:rsidR="00383087">
          <w:rPr>
            <w:noProof/>
            <w:webHidden/>
          </w:rPr>
          <w:fldChar w:fldCharType="separate"/>
        </w:r>
        <w:r w:rsidR="00985052">
          <w:rPr>
            <w:noProof/>
            <w:webHidden/>
          </w:rPr>
          <w:t>20</w:t>
        </w:r>
        <w:r w:rsidR="00383087">
          <w:rPr>
            <w:noProof/>
            <w:webHidden/>
          </w:rPr>
          <w:fldChar w:fldCharType="end"/>
        </w:r>
      </w:hyperlink>
    </w:p>
    <w:p w14:paraId="165E025D" w14:textId="076F3BC8" w:rsidR="00383087" w:rsidRDefault="006356B0">
      <w:pPr>
        <w:pStyle w:val="TOC2"/>
        <w:rPr>
          <w:rFonts w:asciiTheme="minorHAnsi" w:eastAsiaTheme="minorEastAsia" w:hAnsiTheme="minorHAnsi" w:cstheme="minorBidi"/>
          <w:noProof/>
          <w:sz w:val="22"/>
          <w:szCs w:val="22"/>
        </w:rPr>
      </w:pPr>
      <w:hyperlink w:anchor="_Toc61607313" w:history="1">
        <w:r w:rsidR="00383087" w:rsidRPr="00952454">
          <w:rPr>
            <w:rStyle w:val="Hyperlink"/>
            <w:noProof/>
          </w:rPr>
          <w:t>Discussion of projected need and teachers of students with visual impairments (TVIs)</w:t>
        </w:r>
        <w:r w:rsidR="00383087">
          <w:rPr>
            <w:noProof/>
            <w:webHidden/>
          </w:rPr>
          <w:tab/>
        </w:r>
        <w:r w:rsidR="00383087">
          <w:rPr>
            <w:noProof/>
            <w:webHidden/>
          </w:rPr>
          <w:fldChar w:fldCharType="begin"/>
        </w:r>
        <w:r w:rsidR="00383087">
          <w:rPr>
            <w:noProof/>
            <w:webHidden/>
          </w:rPr>
          <w:instrText xml:space="preserve"> PAGEREF _Toc61607313 \h </w:instrText>
        </w:r>
        <w:r w:rsidR="00383087">
          <w:rPr>
            <w:noProof/>
            <w:webHidden/>
          </w:rPr>
        </w:r>
        <w:r w:rsidR="00383087">
          <w:rPr>
            <w:noProof/>
            <w:webHidden/>
          </w:rPr>
          <w:fldChar w:fldCharType="separate"/>
        </w:r>
        <w:r w:rsidR="00985052">
          <w:rPr>
            <w:noProof/>
            <w:webHidden/>
          </w:rPr>
          <w:t>21</w:t>
        </w:r>
        <w:r w:rsidR="00383087">
          <w:rPr>
            <w:noProof/>
            <w:webHidden/>
          </w:rPr>
          <w:fldChar w:fldCharType="end"/>
        </w:r>
      </w:hyperlink>
    </w:p>
    <w:p w14:paraId="2F8D77A3" w14:textId="4AA26624" w:rsidR="00383087" w:rsidRDefault="006356B0">
      <w:pPr>
        <w:pStyle w:val="TOC2"/>
        <w:rPr>
          <w:rFonts w:asciiTheme="minorHAnsi" w:eastAsiaTheme="minorEastAsia" w:hAnsiTheme="minorHAnsi" w:cstheme="minorBidi"/>
          <w:noProof/>
          <w:sz w:val="22"/>
          <w:szCs w:val="22"/>
        </w:rPr>
      </w:pPr>
      <w:hyperlink w:anchor="_Toc61607314" w:history="1">
        <w:r w:rsidR="00383087" w:rsidRPr="00952454">
          <w:rPr>
            <w:rStyle w:val="Hyperlink"/>
            <w:noProof/>
          </w:rPr>
          <w:t>Discussion of projected need and O&amp;M specialists</w:t>
        </w:r>
        <w:r w:rsidR="00383087">
          <w:rPr>
            <w:noProof/>
            <w:webHidden/>
          </w:rPr>
          <w:tab/>
        </w:r>
        <w:r w:rsidR="00383087">
          <w:rPr>
            <w:noProof/>
            <w:webHidden/>
          </w:rPr>
          <w:fldChar w:fldCharType="begin"/>
        </w:r>
        <w:r w:rsidR="00383087">
          <w:rPr>
            <w:noProof/>
            <w:webHidden/>
          </w:rPr>
          <w:instrText xml:space="preserve"> PAGEREF _Toc61607314 \h </w:instrText>
        </w:r>
        <w:r w:rsidR="00383087">
          <w:rPr>
            <w:noProof/>
            <w:webHidden/>
          </w:rPr>
        </w:r>
        <w:r w:rsidR="00383087">
          <w:rPr>
            <w:noProof/>
            <w:webHidden/>
          </w:rPr>
          <w:fldChar w:fldCharType="separate"/>
        </w:r>
        <w:r w:rsidR="00985052">
          <w:rPr>
            <w:noProof/>
            <w:webHidden/>
          </w:rPr>
          <w:t>22</w:t>
        </w:r>
        <w:r w:rsidR="00383087">
          <w:rPr>
            <w:noProof/>
            <w:webHidden/>
          </w:rPr>
          <w:fldChar w:fldCharType="end"/>
        </w:r>
      </w:hyperlink>
    </w:p>
    <w:p w14:paraId="6133777D" w14:textId="409510DE" w:rsidR="00383087" w:rsidRDefault="006356B0">
      <w:pPr>
        <w:pStyle w:val="TOC1"/>
        <w:rPr>
          <w:rFonts w:asciiTheme="minorHAnsi" w:eastAsiaTheme="minorEastAsia" w:hAnsiTheme="minorHAnsi" w:cstheme="minorBidi"/>
          <w:noProof/>
          <w:sz w:val="22"/>
          <w:szCs w:val="22"/>
        </w:rPr>
      </w:pPr>
      <w:hyperlink w:anchor="_Toc61607315" w:history="1">
        <w:r w:rsidR="00383087" w:rsidRPr="00952454">
          <w:rPr>
            <w:rStyle w:val="Hyperlink"/>
            <w:noProof/>
          </w:rPr>
          <w:t>Enrollment to Prepare VI Professionals</w:t>
        </w:r>
        <w:r w:rsidR="00383087">
          <w:rPr>
            <w:noProof/>
            <w:webHidden/>
          </w:rPr>
          <w:tab/>
        </w:r>
        <w:r w:rsidR="00383087">
          <w:rPr>
            <w:noProof/>
            <w:webHidden/>
          </w:rPr>
          <w:fldChar w:fldCharType="begin"/>
        </w:r>
        <w:r w:rsidR="00383087">
          <w:rPr>
            <w:noProof/>
            <w:webHidden/>
          </w:rPr>
          <w:instrText xml:space="preserve"> PAGEREF _Toc61607315 \h </w:instrText>
        </w:r>
        <w:r w:rsidR="00383087">
          <w:rPr>
            <w:noProof/>
            <w:webHidden/>
          </w:rPr>
        </w:r>
        <w:r w:rsidR="00383087">
          <w:rPr>
            <w:noProof/>
            <w:webHidden/>
          </w:rPr>
          <w:fldChar w:fldCharType="separate"/>
        </w:r>
        <w:r w:rsidR="00985052">
          <w:rPr>
            <w:noProof/>
            <w:webHidden/>
          </w:rPr>
          <w:t>23</w:t>
        </w:r>
        <w:r w:rsidR="00383087">
          <w:rPr>
            <w:noProof/>
            <w:webHidden/>
          </w:rPr>
          <w:fldChar w:fldCharType="end"/>
        </w:r>
      </w:hyperlink>
    </w:p>
    <w:p w14:paraId="0E7BD6FF" w14:textId="068133D3" w:rsidR="00383087" w:rsidRDefault="006356B0">
      <w:pPr>
        <w:pStyle w:val="TOC2"/>
        <w:rPr>
          <w:rFonts w:asciiTheme="minorHAnsi" w:eastAsiaTheme="minorEastAsia" w:hAnsiTheme="minorHAnsi" w:cstheme="minorBidi"/>
          <w:noProof/>
          <w:sz w:val="22"/>
          <w:szCs w:val="22"/>
        </w:rPr>
      </w:pPr>
      <w:hyperlink w:anchor="_Toc61607316" w:history="1">
        <w:r w:rsidR="00383087" w:rsidRPr="00952454">
          <w:rPr>
            <w:rStyle w:val="Hyperlink"/>
            <w:noProof/>
          </w:rPr>
          <w:t>Students registered in Texas programs</w:t>
        </w:r>
        <w:r w:rsidR="00383087">
          <w:rPr>
            <w:noProof/>
            <w:webHidden/>
          </w:rPr>
          <w:tab/>
        </w:r>
        <w:r w:rsidR="00383087">
          <w:rPr>
            <w:noProof/>
            <w:webHidden/>
          </w:rPr>
          <w:fldChar w:fldCharType="begin"/>
        </w:r>
        <w:r w:rsidR="00383087">
          <w:rPr>
            <w:noProof/>
            <w:webHidden/>
          </w:rPr>
          <w:instrText xml:space="preserve"> PAGEREF _Toc61607316 \h </w:instrText>
        </w:r>
        <w:r w:rsidR="00383087">
          <w:rPr>
            <w:noProof/>
            <w:webHidden/>
          </w:rPr>
        </w:r>
        <w:r w:rsidR="00383087">
          <w:rPr>
            <w:noProof/>
            <w:webHidden/>
          </w:rPr>
          <w:fldChar w:fldCharType="separate"/>
        </w:r>
        <w:r w:rsidR="00985052">
          <w:rPr>
            <w:noProof/>
            <w:webHidden/>
          </w:rPr>
          <w:t>24</w:t>
        </w:r>
        <w:r w:rsidR="00383087">
          <w:rPr>
            <w:noProof/>
            <w:webHidden/>
          </w:rPr>
          <w:fldChar w:fldCharType="end"/>
        </w:r>
      </w:hyperlink>
    </w:p>
    <w:p w14:paraId="3FF3AD48" w14:textId="1B3B83F8" w:rsidR="00383087" w:rsidRDefault="006356B0">
      <w:pPr>
        <w:pStyle w:val="TOC2"/>
        <w:rPr>
          <w:rFonts w:asciiTheme="minorHAnsi" w:eastAsiaTheme="minorEastAsia" w:hAnsiTheme="minorHAnsi" w:cstheme="minorBidi"/>
          <w:noProof/>
          <w:sz w:val="22"/>
          <w:szCs w:val="22"/>
        </w:rPr>
      </w:pPr>
      <w:hyperlink w:anchor="_Toc61607317" w:history="1">
        <w:r w:rsidR="00383087" w:rsidRPr="00952454">
          <w:rPr>
            <w:rStyle w:val="Hyperlink"/>
            <w:noProof/>
          </w:rPr>
          <w:t>Students completing Texas certification programs</w:t>
        </w:r>
        <w:r w:rsidR="00383087">
          <w:rPr>
            <w:noProof/>
            <w:webHidden/>
          </w:rPr>
          <w:tab/>
        </w:r>
        <w:r w:rsidR="00383087">
          <w:rPr>
            <w:noProof/>
            <w:webHidden/>
          </w:rPr>
          <w:fldChar w:fldCharType="begin"/>
        </w:r>
        <w:r w:rsidR="00383087">
          <w:rPr>
            <w:noProof/>
            <w:webHidden/>
          </w:rPr>
          <w:instrText xml:space="preserve"> PAGEREF _Toc61607317 \h </w:instrText>
        </w:r>
        <w:r w:rsidR="00383087">
          <w:rPr>
            <w:noProof/>
            <w:webHidden/>
          </w:rPr>
        </w:r>
        <w:r w:rsidR="00383087">
          <w:rPr>
            <w:noProof/>
            <w:webHidden/>
          </w:rPr>
          <w:fldChar w:fldCharType="separate"/>
        </w:r>
        <w:r w:rsidR="00985052">
          <w:rPr>
            <w:noProof/>
            <w:webHidden/>
          </w:rPr>
          <w:t>24</w:t>
        </w:r>
        <w:r w:rsidR="00383087">
          <w:rPr>
            <w:noProof/>
            <w:webHidden/>
          </w:rPr>
          <w:fldChar w:fldCharType="end"/>
        </w:r>
      </w:hyperlink>
    </w:p>
    <w:p w14:paraId="024B894A" w14:textId="761961AF" w:rsidR="00383087" w:rsidRDefault="006356B0">
      <w:pPr>
        <w:pStyle w:val="TOC2"/>
        <w:rPr>
          <w:rFonts w:asciiTheme="minorHAnsi" w:eastAsiaTheme="minorEastAsia" w:hAnsiTheme="minorHAnsi" w:cstheme="minorBidi"/>
          <w:noProof/>
          <w:sz w:val="22"/>
          <w:szCs w:val="22"/>
        </w:rPr>
      </w:pPr>
      <w:hyperlink w:anchor="_Toc61607318" w:history="1">
        <w:r w:rsidR="00383087" w:rsidRPr="00952454">
          <w:rPr>
            <w:rStyle w:val="Hyperlink"/>
            <w:noProof/>
          </w:rPr>
          <w:t>Students receiving financial assistance in Texas certification programs</w:t>
        </w:r>
        <w:r w:rsidR="00383087">
          <w:rPr>
            <w:noProof/>
            <w:webHidden/>
          </w:rPr>
          <w:tab/>
        </w:r>
        <w:r w:rsidR="00383087">
          <w:rPr>
            <w:noProof/>
            <w:webHidden/>
          </w:rPr>
          <w:fldChar w:fldCharType="begin"/>
        </w:r>
        <w:r w:rsidR="00383087">
          <w:rPr>
            <w:noProof/>
            <w:webHidden/>
          </w:rPr>
          <w:instrText xml:space="preserve"> PAGEREF _Toc61607318 \h </w:instrText>
        </w:r>
        <w:r w:rsidR="00383087">
          <w:rPr>
            <w:noProof/>
            <w:webHidden/>
          </w:rPr>
        </w:r>
        <w:r w:rsidR="00383087">
          <w:rPr>
            <w:noProof/>
            <w:webHidden/>
          </w:rPr>
          <w:fldChar w:fldCharType="separate"/>
        </w:r>
        <w:r w:rsidR="00985052">
          <w:rPr>
            <w:noProof/>
            <w:webHidden/>
          </w:rPr>
          <w:t>25</w:t>
        </w:r>
        <w:r w:rsidR="00383087">
          <w:rPr>
            <w:noProof/>
            <w:webHidden/>
          </w:rPr>
          <w:fldChar w:fldCharType="end"/>
        </w:r>
      </w:hyperlink>
    </w:p>
    <w:p w14:paraId="26DE7F1A" w14:textId="201A05AA" w:rsidR="00383087" w:rsidRDefault="006356B0">
      <w:pPr>
        <w:pStyle w:val="TOC1"/>
        <w:rPr>
          <w:rFonts w:asciiTheme="minorHAnsi" w:eastAsiaTheme="minorEastAsia" w:hAnsiTheme="minorHAnsi" w:cstheme="minorBidi"/>
          <w:noProof/>
          <w:sz w:val="22"/>
          <w:szCs w:val="22"/>
        </w:rPr>
      </w:pPr>
      <w:hyperlink w:anchor="_Toc61607319" w:history="1">
        <w:r w:rsidR="00383087" w:rsidRPr="00952454">
          <w:rPr>
            <w:rStyle w:val="Hyperlink"/>
            <w:noProof/>
          </w:rPr>
          <w:t>Summary</w:t>
        </w:r>
        <w:r w:rsidR="00383087">
          <w:rPr>
            <w:noProof/>
            <w:webHidden/>
          </w:rPr>
          <w:tab/>
        </w:r>
        <w:r w:rsidR="00383087">
          <w:rPr>
            <w:noProof/>
            <w:webHidden/>
          </w:rPr>
          <w:fldChar w:fldCharType="begin"/>
        </w:r>
        <w:r w:rsidR="00383087">
          <w:rPr>
            <w:noProof/>
            <w:webHidden/>
          </w:rPr>
          <w:instrText xml:space="preserve"> PAGEREF _Toc61607319 \h </w:instrText>
        </w:r>
        <w:r w:rsidR="00383087">
          <w:rPr>
            <w:noProof/>
            <w:webHidden/>
          </w:rPr>
        </w:r>
        <w:r w:rsidR="00383087">
          <w:rPr>
            <w:noProof/>
            <w:webHidden/>
          </w:rPr>
          <w:fldChar w:fldCharType="separate"/>
        </w:r>
        <w:r w:rsidR="00985052">
          <w:rPr>
            <w:noProof/>
            <w:webHidden/>
          </w:rPr>
          <w:t>26</w:t>
        </w:r>
        <w:r w:rsidR="00383087">
          <w:rPr>
            <w:noProof/>
            <w:webHidden/>
          </w:rPr>
          <w:fldChar w:fldCharType="end"/>
        </w:r>
      </w:hyperlink>
    </w:p>
    <w:p w14:paraId="40BECA29" w14:textId="48C6A9B3" w:rsidR="00383087" w:rsidRDefault="006356B0">
      <w:pPr>
        <w:pStyle w:val="TOC1"/>
        <w:rPr>
          <w:rFonts w:asciiTheme="minorHAnsi" w:eastAsiaTheme="minorEastAsia" w:hAnsiTheme="minorHAnsi" w:cstheme="minorBidi"/>
          <w:noProof/>
          <w:sz w:val="22"/>
          <w:szCs w:val="22"/>
        </w:rPr>
      </w:pPr>
      <w:hyperlink w:anchor="_Toc61607320" w:history="1">
        <w:r w:rsidR="00383087" w:rsidRPr="00952454">
          <w:rPr>
            <w:rStyle w:val="Hyperlink"/>
            <w:noProof/>
          </w:rPr>
          <w:t>Appendix</w:t>
        </w:r>
        <w:r w:rsidR="00383087">
          <w:rPr>
            <w:noProof/>
            <w:webHidden/>
          </w:rPr>
          <w:tab/>
        </w:r>
        <w:r w:rsidR="00383087">
          <w:rPr>
            <w:noProof/>
            <w:webHidden/>
          </w:rPr>
          <w:fldChar w:fldCharType="begin"/>
        </w:r>
        <w:r w:rsidR="00383087">
          <w:rPr>
            <w:noProof/>
            <w:webHidden/>
          </w:rPr>
          <w:instrText xml:space="preserve"> PAGEREF _Toc61607320 \h </w:instrText>
        </w:r>
        <w:r w:rsidR="00383087">
          <w:rPr>
            <w:noProof/>
            <w:webHidden/>
          </w:rPr>
        </w:r>
        <w:r w:rsidR="00383087">
          <w:rPr>
            <w:noProof/>
            <w:webHidden/>
          </w:rPr>
          <w:fldChar w:fldCharType="separate"/>
        </w:r>
        <w:r w:rsidR="00985052">
          <w:rPr>
            <w:noProof/>
            <w:webHidden/>
          </w:rPr>
          <w:t>29</w:t>
        </w:r>
        <w:r w:rsidR="00383087">
          <w:rPr>
            <w:noProof/>
            <w:webHidden/>
          </w:rPr>
          <w:fldChar w:fldCharType="end"/>
        </w:r>
      </w:hyperlink>
    </w:p>
    <w:p w14:paraId="725E5CD6" w14:textId="43189539" w:rsidR="00383087" w:rsidRDefault="006356B0">
      <w:pPr>
        <w:pStyle w:val="TOC2"/>
        <w:rPr>
          <w:rFonts w:asciiTheme="minorHAnsi" w:eastAsiaTheme="minorEastAsia" w:hAnsiTheme="minorHAnsi" w:cstheme="minorBidi"/>
          <w:noProof/>
          <w:sz w:val="22"/>
          <w:szCs w:val="22"/>
        </w:rPr>
      </w:pPr>
      <w:hyperlink w:anchor="_Toc61607321" w:history="1">
        <w:r w:rsidR="00383087" w:rsidRPr="00952454">
          <w:rPr>
            <w:rStyle w:val="Hyperlink"/>
            <w:noProof/>
          </w:rPr>
          <w:t>Methodology</w:t>
        </w:r>
        <w:r w:rsidR="00383087">
          <w:rPr>
            <w:noProof/>
            <w:webHidden/>
          </w:rPr>
          <w:tab/>
        </w:r>
        <w:r w:rsidR="00383087">
          <w:rPr>
            <w:noProof/>
            <w:webHidden/>
          </w:rPr>
          <w:fldChar w:fldCharType="begin"/>
        </w:r>
        <w:r w:rsidR="00383087">
          <w:rPr>
            <w:noProof/>
            <w:webHidden/>
          </w:rPr>
          <w:instrText xml:space="preserve"> PAGEREF _Toc61607321 \h </w:instrText>
        </w:r>
        <w:r w:rsidR="00383087">
          <w:rPr>
            <w:noProof/>
            <w:webHidden/>
          </w:rPr>
        </w:r>
        <w:r w:rsidR="00383087">
          <w:rPr>
            <w:noProof/>
            <w:webHidden/>
          </w:rPr>
          <w:fldChar w:fldCharType="separate"/>
        </w:r>
        <w:r w:rsidR="00985052">
          <w:rPr>
            <w:noProof/>
            <w:webHidden/>
          </w:rPr>
          <w:t>29</w:t>
        </w:r>
        <w:r w:rsidR="00383087">
          <w:rPr>
            <w:noProof/>
            <w:webHidden/>
          </w:rPr>
          <w:fldChar w:fldCharType="end"/>
        </w:r>
      </w:hyperlink>
    </w:p>
    <w:p w14:paraId="291C64B2" w14:textId="1FA82B0A" w:rsidR="00383087" w:rsidRDefault="006356B0">
      <w:pPr>
        <w:pStyle w:val="TOC1"/>
        <w:rPr>
          <w:rFonts w:asciiTheme="minorHAnsi" w:eastAsiaTheme="minorEastAsia" w:hAnsiTheme="minorHAnsi" w:cstheme="minorBidi"/>
          <w:noProof/>
          <w:sz w:val="22"/>
          <w:szCs w:val="22"/>
        </w:rPr>
      </w:pPr>
      <w:hyperlink w:anchor="_Toc61607322" w:history="1">
        <w:r w:rsidR="00383087" w:rsidRPr="00952454">
          <w:rPr>
            <w:rStyle w:val="Hyperlink"/>
            <w:noProof/>
          </w:rPr>
          <w:t>References</w:t>
        </w:r>
        <w:r w:rsidR="00383087">
          <w:rPr>
            <w:noProof/>
            <w:webHidden/>
          </w:rPr>
          <w:tab/>
        </w:r>
        <w:r w:rsidR="00383087">
          <w:rPr>
            <w:noProof/>
            <w:webHidden/>
          </w:rPr>
          <w:fldChar w:fldCharType="begin"/>
        </w:r>
        <w:r w:rsidR="00383087">
          <w:rPr>
            <w:noProof/>
            <w:webHidden/>
          </w:rPr>
          <w:instrText xml:space="preserve"> PAGEREF _Toc61607322 \h </w:instrText>
        </w:r>
        <w:r w:rsidR="00383087">
          <w:rPr>
            <w:noProof/>
            <w:webHidden/>
          </w:rPr>
        </w:r>
        <w:r w:rsidR="00383087">
          <w:rPr>
            <w:noProof/>
            <w:webHidden/>
          </w:rPr>
          <w:fldChar w:fldCharType="separate"/>
        </w:r>
        <w:r w:rsidR="00985052">
          <w:rPr>
            <w:noProof/>
            <w:webHidden/>
          </w:rPr>
          <w:t>31</w:t>
        </w:r>
        <w:r w:rsidR="00383087">
          <w:rPr>
            <w:noProof/>
            <w:webHidden/>
          </w:rPr>
          <w:fldChar w:fldCharType="end"/>
        </w:r>
      </w:hyperlink>
    </w:p>
    <w:p w14:paraId="25F1CD85" w14:textId="24E36D19" w:rsidR="004E6B67" w:rsidRPr="00E01313" w:rsidRDefault="00AA0E20" w:rsidP="00B64EB8">
      <w:r>
        <w:fldChar w:fldCharType="end"/>
      </w:r>
      <w:r w:rsidR="00A7020B" w:rsidRPr="00E01313">
        <w:t xml:space="preserve">                     </w:t>
      </w:r>
      <w:r w:rsidR="00992332" w:rsidRPr="00E01313">
        <w:t xml:space="preserve"> </w:t>
      </w:r>
    </w:p>
    <w:p w14:paraId="5797CC9D" w14:textId="23018C58" w:rsidR="00500742" w:rsidRPr="00D938E7" w:rsidRDefault="00D938E7" w:rsidP="00D938E7">
      <w:pPr>
        <w:pStyle w:val="Heading1"/>
      </w:pPr>
      <w:bookmarkStart w:id="12" w:name="_Toc284342455"/>
      <w:bookmarkStart w:id="13" w:name="_Toc347126878"/>
      <w:bookmarkStart w:id="14" w:name="_Toc347127147"/>
      <w:bookmarkStart w:id="15" w:name="_Toc408835443"/>
      <w:bookmarkStart w:id="16" w:name="_Toc61607292"/>
      <w:r w:rsidRPr="00947DFB">
        <w:t>Introduction</w:t>
      </w:r>
      <w:bookmarkEnd w:id="12"/>
      <w:bookmarkEnd w:id="13"/>
      <w:bookmarkEnd w:id="14"/>
      <w:bookmarkEnd w:id="15"/>
      <w:bookmarkEnd w:id="16"/>
    </w:p>
    <w:p w14:paraId="1239614D" w14:textId="1A3D74E0" w:rsidR="00A96C30" w:rsidRDefault="00D938E7" w:rsidP="00D938E7">
      <w:pPr>
        <w:pStyle w:val="Header"/>
        <w:tabs>
          <w:tab w:val="clear" w:pos="4320"/>
          <w:tab w:val="clear" w:pos="8640"/>
        </w:tabs>
        <w:spacing w:line="288" w:lineRule="auto"/>
      </w:pPr>
      <w:r>
        <w:t>Since 1996</w:t>
      </w:r>
      <w:r w:rsidR="004E11D1">
        <w:t>,</w:t>
      </w:r>
      <w:r>
        <w:t xml:space="preserve"> the Texas School for the Blind and Visually Impaired has conducted an annual survey to assess the need for VI professionals in Texas.  </w:t>
      </w:r>
      <w:r w:rsidR="004E11D1">
        <w:t>The term “VI professionals” is used to describe</w:t>
      </w:r>
      <w:r>
        <w:t xml:space="preserve"> certified </w:t>
      </w:r>
      <w:r w:rsidR="004E11D1">
        <w:t>teachers of students with visual impairments (TVIs</w:t>
      </w:r>
      <w:r>
        <w:t xml:space="preserve">) and certified orientation and mobility </w:t>
      </w:r>
      <w:r w:rsidR="004E11D1">
        <w:t xml:space="preserve">(O&amp;M) </w:t>
      </w:r>
      <w:r>
        <w:t>specialists (</w:t>
      </w:r>
      <w:r w:rsidR="00D574E5">
        <w:t>COMS</w:t>
      </w:r>
      <w:r>
        <w:t xml:space="preserve">).  Individuals functioning in both roles are referred to as “dually certified.”  This report will provide information about the results of the survey conducted in September 2020.  </w:t>
      </w:r>
    </w:p>
    <w:p w14:paraId="25D28AED" w14:textId="07990B21" w:rsidR="00A96C30" w:rsidRDefault="00A96C30" w:rsidP="00A96C30">
      <w:pPr>
        <w:spacing w:line="288" w:lineRule="auto"/>
      </w:pPr>
      <w:r>
        <w:t>In order</w:t>
      </w:r>
      <w:r w:rsidRPr="00BD178D">
        <w:t xml:space="preserve"> to assess the characteristics of and need for VI professionals in </w:t>
      </w:r>
      <w:r>
        <w:t>Texas, data was collected from the 20</w:t>
      </w:r>
      <w:r w:rsidRPr="00BD178D">
        <w:t xml:space="preserve"> Education Service Center</w:t>
      </w:r>
      <w:r>
        <w:t xml:space="preserve">s (ESCs), </w:t>
      </w:r>
      <w:r w:rsidRPr="00BD178D">
        <w:t>the two Texas university personnel preparation programs that prepare VI professionals, and TSBVI</w:t>
      </w:r>
      <w:r>
        <w:t xml:space="preserve">. </w:t>
      </w:r>
      <w:r w:rsidRPr="00947DFB">
        <w:t xml:space="preserve">Data from TSBVI include information about TSBVI professionals who provide direct services via the Comprehensive </w:t>
      </w:r>
      <w:bookmarkStart w:id="17" w:name="_GoBack"/>
      <w:bookmarkEnd w:id="17"/>
      <w:r w:rsidRPr="00947DFB">
        <w:t>Program and</w:t>
      </w:r>
      <w:r w:rsidR="00AD6BC4">
        <w:t xml:space="preserve"> those</w:t>
      </w:r>
      <w:r w:rsidRPr="00947DFB">
        <w:t xml:space="preserve"> who provide statewide training, short-term services, and leadership via the </w:t>
      </w:r>
      <w:r w:rsidR="00AD6BC4">
        <w:t xml:space="preserve">Outreach and Short-Term Programs. </w:t>
      </w:r>
      <w:r w:rsidR="00F63952">
        <w:t>(Note: More information about how data were collected is included in the Appendix).</w:t>
      </w:r>
    </w:p>
    <w:p w14:paraId="51A04018" w14:textId="5308B2B4" w:rsidR="00D938E7" w:rsidRDefault="00D938E7" w:rsidP="00D938E7">
      <w:pPr>
        <w:pStyle w:val="Header"/>
        <w:tabs>
          <w:tab w:val="clear" w:pos="4320"/>
          <w:tab w:val="clear" w:pos="8640"/>
        </w:tabs>
        <w:spacing w:line="288" w:lineRule="auto"/>
      </w:pPr>
      <w:r w:rsidRPr="00BD178D">
        <w:t>The most striking</w:t>
      </w:r>
      <w:r w:rsidR="00A96C30">
        <w:t xml:space="preserve"> findings of the 2020</w:t>
      </w:r>
      <w:r>
        <w:t xml:space="preserve"> </w:t>
      </w:r>
      <w:r w:rsidRPr="00BD178D">
        <w:t>survey include:</w:t>
      </w:r>
    </w:p>
    <w:p w14:paraId="0BC7ABE5" w14:textId="3BF5006F" w:rsidR="00D938E7" w:rsidRPr="00A35D07" w:rsidRDefault="00AD4D85" w:rsidP="00AD4D85">
      <w:pPr>
        <w:widowControl w:val="0"/>
        <w:numPr>
          <w:ilvl w:val="0"/>
          <w:numId w:val="15"/>
        </w:numPr>
        <w:autoSpaceDE w:val="0"/>
        <w:autoSpaceDN w:val="0"/>
        <w:adjustRightInd w:val="0"/>
        <w:spacing w:before="120" w:after="0" w:line="240" w:lineRule="auto"/>
        <w:rPr>
          <w:rFonts w:cs="Arial"/>
          <w:szCs w:val="24"/>
        </w:rPr>
      </w:pPr>
      <w:r>
        <w:rPr>
          <w:rFonts w:cs="Arial"/>
          <w:szCs w:val="24"/>
        </w:rPr>
        <w:t>T</w:t>
      </w:r>
      <w:r w:rsidR="00D938E7" w:rsidRPr="00A35D07">
        <w:rPr>
          <w:rFonts w:cs="Arial"/>
          <w:szCs w:val="24"/>
        </w:rPr>
        <w:t xml:space="preserve">he </w:t>
      </w:r>
      <w:r w:rsidR="00D938E7" w:rsidRPr="00A35D07">
        <w:rPr>
          <w:rFonts w:cs="Arial"/>
          <w:b/>
          <w:szCs w:val="24"/>
        </w:rPr>
        <w:t>total number of VI professionals</w:t>
      </w:r>
      <w:r w:rsidR="00D938E7" w:rsidRPr="00A35D07">
        <w:rPr>
          <w:rFonts w:cs="Arial"/>
          <w:szCs w:val="24"/>
        </w:rPr>
        <w:t xml:space="preserve">, including leadership positions, </w:t>
      </w:r>
      <w:r w:rsidR="00D938E7" w:rsidRPr="00A35D07">
        <w:rPr>
          <w:rFonts w:cs="Arial"/>
          <w:b/>
          <w:szCs w:val="24"/>
        </w:rPr>
        <w:t xml:space="preserve">decreased </w:t>
      </w:r>
      <w:r w:rsidR="00AD6BC4">
        <w:rPr>
          <w:rFonts w:cs="Arial"/>
          <w:b/>
          <w:szCs w:val="24"/>
        </w:rPr>
        <w:t xml:space="preserve">significantly </w:t>
      </w:r>
      <w:r w:rsidR="00AD6BC4" w:rsidRPr="00AD6BC4">
        <w:rPr>
          <w:rFonts w:cs="Arial"/>
          <w:szCs w:val="24"/>
        </w:rPr>
        <w:t xml:space="preserve">from </w:t>
      </w:r>
      <w:r w:rsidR="00D938E7" w:rsidRPr="00A35D07">
        <w:rPr>
          <w:rFonts w:cs="Arial"/>
          <w:szCs w:val="24"/>
        </w:rPr>
        <w:t xml:space="preserve">992 </w:t>
      </w:r>
      <w:r w:rsidR="00D938E7" w:rsidRPr="009721EB">
        <w:rPr>
          <w:rFonts w:cs="Arial"/>
          <w:szCs w:val="24"/>
        </w:rPr>
        <w:t xml:space="preserve">to </w:t>
      </w:r>
      <w:r w:rsidR="00D938E7" w:rsidRPr="002E556B">
        <w:rPr>
          <w:rFonts w:cs="Arial"/>
          <w:szCs w:val="24"/>
        </w:rPr>
        <w:t>963</w:t>
      </w:r>
      <w:r w:rsidR="00AD6BC4">
        <w:rPr>
          <w:rFonts w:cs="Arial"/>
          <w:szCs w:val="24"/>
        </w:rPr>
        <w:t>, a loss of 29 individuals</w:t>
      </w:r>
      <w:r w:rsidR="00D938E7" w:rsidRPr="00A35D07">
        <w:rPr>
          <w:rFonts w:cs="Arial"/>
          <w:szCs w:val="24"/>
        </w:rPr>
        <w:t>. Th</w:t>
      </w:r>
      <w:r w:rsidR="00353E33">
        <w:rPr>
          <w:rFonts w:cs="Arial"/>
          <w:szCs w:val="24"/>
        </w:rPr>
        <w:t xml:space="preserve">e </w:t>
      </w:r>
      <w:r w:rsidR="00A96C30">
        <w:rPr>
          <w:rFonts w:cs="Arial"/>
          <w:szCs w:val="24"/>
        </w:rPr>
        <w:t>majority of this change</w:t>
      </w:r>
      <w:r w:rsidR="00353E33">
        <w:rPr>
          <w:rFonts w:cs="Arial"/>
          <w:szCs w:val="24"/>
        </w:rPr>
        <w:t xml:space="preserve"> was seen in the </w:t>
      </w:r>
      <w:r w:rsidR="00823DF4">
        <w:rPr>
          <w:rFonts w:cs="Arial"/>
          <w:szCs w:val="24"/>
        </w:rPr>
        <w:t xml:space="preserve">total </w:t>
      </w:r>
      <w:r w:rsidR="009721EB">
        <w:rPr>
          <w:rFonts w:cs="Arial"/>
          <w:szCs w:val="24"/>
        </w:rPr>
        <w:t xml:space="preserve">number of TVIs </w:t>
      </w:r>
      <w:r w:rsidR="00823DF4">
        <w:rPr>
          <w:rFonts w:cs="Arial"/>
          <w:szCs w:val="24"/>
        </w:rPr>
        <w:t xml:space="preserve">working full-time. The </w:t>
      </w:r>
      <w:r w:rsidR="00D938E7" w:rsidRPr="00A35D07">
        <w:rPr>
          <w:rFonts w:cs="Arial"/>
          <w:szCs w:val="24"/>
        </w:rPr>
        <w:t>number o</w:t>
      </w:r>
      <w:r w:rsidR="009721EB">
        <w:rPr>
          <w:rFonts w:cs="Arial"/>
          <w:szCs w:val="24"/>
        </w:rPr>
        <w:t>f full-time COMS</w:t>
      </w:r>
      <w:r w:rsidR="00A96C30">
        <w:rPr>
          <w:rFonts w:cs="Arial"/>
          <w:szCs w:val="24"/>
        </w:rPr>
        <w:t xml:space="preserve"> increased </w:t>
      </w:r>
      <w:r w:rsidR="009721EB">
        <w:rPr>
          <w:rFonts w:cs="Arial"/>
          <w:szCs w:val="24"/>
        </w:rPr>
        <w:t xml:space="preserve">and there was no change in the number </w:t>
      </w:r>
      <w:r w:rsidR="00A050AF">
        <w:rPr>
          <w:rFonts w:cs="Arial"/>
          <w:szCs w:val="24"/>
        </w:rPr>
        <w:t xml:space="preserve">working </w:t>
      </w:r>
      <w:r w:rsidR="009721EB">
        <w:rPr>
          <w:rFonts w:cs="Arial"/>
          <w:szCs w:val="24"/>
        </w:rPr>
        <w:t>part-time.</w:t>
      </w:r>
    </w:p>
    <w:p w14:paraId="37C570FC" w14:textId="44D0A3A5" w:rsidR="003D373B" w:rsidRPr="009721EB" w:rsidRDefault="00823DF4" w:rsidP="000E3ADA">
      <w:pPr>
        <w:widowControl w:val="0"/>
        <w:numPr>
          <w:ilvl w:val="1"/>
          <w:numId w:val="15"/>
        </w:numPr>
        <w:autoSpaceDE w:val="0"/>
        <w:autoSpaceDN w:val="0"/>
        <w:adjustRightInd w:val="0"/>
        <w:spacing w:before="120" w:after="0" w:line="240" w:lineRule="auto"/>
        <w:rPr>
          <w:rFonts w:cs="Arial"/>
          <w:szCs w:val="24"/>
        </w:rPr>
      </w:pPr>
      <w:r>
        <w:rPr>
          <w:rFonts w:cs="Arial"/>
          <w:szCs w:val="24"/>
        </w:rPr>
        <w:t>The total n</w:t>
      </w:r>
      <w:r w:rsidR="003D373B" w:rsidRPr="009721EB">
        <w:rPr>
          <w:rFonts w:cs="Arial"/>
          <w:szCs w:val="24"/>
        </w:rPr>
        <w:t xml:space="preserve">umber of </w:t>
      </w:r>
      <w:r w:rsidR="003D373B" w:rsidRPr="009721EB">
        <w:rPr>
          <w:rFonts w:cs="Arial"/>
          <w:b/>
          <w:szCs w:val="24"/>
        </w:rPr>
        <w:t>TVIs</w:t>
      </w:r>
      <w:r>
        <w:rPr>
          <w:rFonts w:cs="Arial"/>
          <w:szCs w:val="24"/>
        </w:rPr>
        <w:t xml:space="preserve"> was </w:t>
      </w:r>
      <w:r w:rsidR="003D373B" w:rsidRPr="009721EB">
        <w:rPr>
          <w:rFonts w:cs="Arial"/>
          <w:b/>
          <w:szCs w:val="24"/>
        </w:rPr>
        <w:t>669</w:t>
      </w:r>
      <w:r w:rsidR="003D373B">
        <w:rPr>
          <w:rFonts w:cs="Arial"/>
          <w:szCs w:val="24"/>
        </w:rPr>
        <w:t xml:space="preserve">, a </w:t>
      </w:r>
      <w:r w:rsidR="003D373B" w:rsidRPr="00823DF4">
        <w:rPr>
          <w:rFonts w:cs="Arial"/>
          <w:b/>
          <w:szCs w:val="24"/>
        </w:rPr>
        <w:t>loss</w:t>
      </w:r>
      <w:r w:rsidR="003D373B">
        <w:rPr>
          <w:rFonts w:cs="Arial"/>
          <w:szCs w:val="24"/>
        </w:rPr>
        <w:t xml:space="preserve"> of 25 individuals</w:t>
      </w:r>
      <w:r w:rsidR="001D59D3">
        <w:rPr>
          <w:rFonts w:cs="Arial"/>
          <w:szCs w:val="24"/>
        </w:rPr>
        <w:t>.</w:t>
      </w:r>
    </w:p>
    <w:p w14:paraId="2B57B2FB" w14:textId="2015461E" w:rsidR="00823DF4" w:rsidRDefault="003D373B" w:rsidP="000E3ADA">
      <w:pPr>
        <w:widowControl w:val="0"/>
        <w:numPr>
          <w:ilvl w:val="2"/>
          <w:numId w:val="15"/>
        </w:numPr>
        <w:autoSpaceDE w:val="0"/>
        <w:autoSpaceDN w:val="0"/>
        <w:adjustRightInd w:val="0"/>
        <w:spacing w:before="120" w:after="0" w:line="240" w:lineRule="auto"/>
        <w:rPr>
          <w:rFonts w:cs="Arial"/>
          <w:szCs w:val="24"/>
        </w:rPr>
      </w:pPr>
      <w:r w:rsidRPr="003D373B">
        <w:rPr>
          <w:rFonts w:cs="Arial"/>
          <w:b/>
          <w:szCs w:val="24"/>
        </w:rPr>
        <w:t>P</w:t>
      </w:r>
      <w:r w:rsidR="00823DF4">
        <w:rPr>
          <w:rFonts w:cs="Arial"/>
          <w:b/>
          <w:szCs w:val="24"/>
        </w:rPr>
        <w:t xml:space="preserve">art-time </w:t>
      </w:r>
      <w:r w:rsidR="00823DF4" w:rsidRPr="00823DF4">
        <w:rPr>
          <w:rFonts w:cs="Arial"/>
          <w:szCs w:val="24"/>
        </w:rPr>
        <w:t>total</w:t>
      </w:r>
      <w:r w:rsidR="00823DF4">
        <w:rPr>
          <w:rFonts w:cs="Arial"/>
          <w:b/>
          <w:szCs w:val="24"/>
        </w:rPr>
        <w:t xml:space="preserve"> </w:t>
      </w:r>
      <w:r w:rsidR="00D938E7" w:rsidRPr="003D373B">
        <w:rPr>
          <w:rFonts w:cs="Arial"/>
          <w:b/>
          <w:szCs w:val="24"/>
        </w:rPr>
        <w:t>fell</w:t>
      </w:r>
      <w:r w:rsidR="00AD6BC4">
        <w:rPr>
          <w:rFonts w:cs="Arial"/>
          <w:szCs w:val="24"/>
        </w:rPr>
        <w:t xml:space="preserve"> by 10</w:t>
      </w:r>
      <w:r w:rsidR="009721EB" w:rsidRPr="003D373B">
        <w:rPr>
          <w:rFonts w:cs="Arial"/>
          <w:szCs w:val="24"/>
        </w:rPr>
        <w:t xml:space="preserve">, from 168 to </w:t>
      </w:r>
      <w:r w:rsidR="009721EB" w:rsidRPr="003D373B">
        <w:rPr>
          <w:rFonts w:cs="Arial"/>
          <w:b/>
          <w:szCs w:val="24"/>
        </w:rPr>
        <w:t>158</w:t>
      </w:r>
      <w:r w:rsidR="00353E33">
        <w:rPr>
          <w:rFonts w:cs="Arial"/>
          <w:szCs w:val="24"/>
        </w:rPr>
        <w:t xml:space="preserve"> </w:t>
      </w:r>
    </w:p>
    <w:p w14:paraId="31A981E2" w14:textId="011D8CC8" w:rsidR="00D938E7" w:rsidRDefault="00823DF4" w:rsidP="000E3ADA">
      <w:pPr>
        <w:widowControl w:val="0"/>
        <w:numPr>
          <w:ilvl w:val="2"/>
          <w:numId w:val="15"/>
        </w:numPr>
        <w:autoSpaceDE w:val="0"/>
        <w:autoSpaceDN w:val="0"/>
        <w:adjustRightInd w:val="0"/>
        <w:spacing w:before="120" w:after="0" w:line="240" w:lineRule="auto"/>
        <w:rPr>
          <w:rFonts w:cs="Arial"/>
          <w:szCs w:val="24"/>
        </w:rPr>
      </w:pPr>
      <w:r w:rsidRPr="00823DF4">
        <w:rPr>
          <w:rFonts w:cs="Arial"/>
          <w:b/>
          <w:szCs w:val="24"/>
        </w:rPr>
        <w:t>F</w:t>
      </w:r>
      <w:r w:rsidR="00353E33" w:rsidRPr="00823DF4">
        <w:rPr>
          <w:rFonts w:cs="Arial"/>
          <w:b/>
          <w:szCs w:val="24"/>
        </w:rPr>
        <w:t>u</w:t>
      </w:r>
      <w:r>
        <w:rPr>
          <w:rFonts w:cs="Arial"/>
          <w:b/>
          <w:szCs w:val="24"/>
        </w:rPr>
        <w:t xml:space="preserve">ll-time </w:t>
      </w:r>
      <w:r w:rsidRPr="00823DF4">
        <w:rPr>
          <w:rFonts w:cs="Arial"/>
          <w:szCs w:val="24"/>
        </w:rPr>
        <w:t>total</w:t>
      </w:r>
      <w:r w:rsidR="00353E33" w:rsidRPr="00353E33">
        <w:rPr>
          <w:rFonts w:cs="Arial"/>
          <w:b/>
          <w:szCs w:val="24"/>
        </w:rPr>
        <w:t xml:space="preserve"> </w:t>
      </w:r>
      <w:r w:rsidR="00D938E7" w:rsidRPr="00353E33">
        <w:rPr>
          <w:rFonts w:cs="Arial"/>
          <w:b/>
          <w:szCs w:val="24"/>
        </w:rPr>
        <w:t>decreased</w:t>
      </w:r>
      <w:r w:rsidR="009721EB" w:rsidRPr="00353E33">
        <w:rPr>
          <w:rFonts w:cs="Arial"/>
          <w:szCs w:val="24"/>
        </w:rPr>
        <w:t xml:space="preserve"> by 15, from 526 to </w:t>
      </w:r>
      <w:r w:rsidR="009721EB" w:rsidRPr="00353E33">
        <w:rPr>
          <w:rFonts w:cs="Arial"/>
          <w:b/>
          <w:szCs w:val="24"/>
        </w:rPr>
        <w:t>511</w:t>
      </w:r>
      <w:r w:rsidR="00D938E7" w:rsidRPr="00353E33">
        <w:rPr>
          <w:rFonts w:cs="Arial"/>
          <w:szCs w:val="24"/>
        </w:rPr>
        <w:t xml:space="preserve"> individuals.</w:t>
      </w:r>
    </w:p>
    <w:p w14:paraId="1D6FD2AA" w14:textId="6A0FABF8" w:rsidR="00823DF4" w:rsidRPr="00823DF4" w:rsidRDefault="00823DF4" w:rsidP="000E3ADA">
      <w:pPr>
        <w:widowControl w:val="0"/>
        <w:numPr>
          <w:ilvl w:val="2"/>
          <w:numId w:val="15"/>
        </w:numPr>
        <w:autoSpaceDE w:val="0"/>
        <w:autoSpaceDN w:val="0"/>
        <w:adjustRightInd w:val="0"/>
        <w:spacing w:before="120" w:after="0" w:line="240" w:lineRule="auto"/>
        <w:rPr>
          <w:rFonts w:cs="Arial"/>
          <w:b/>
          <w:szCs w:val="24"/>
        </w:rPr>
      </w:pPr>
      <w:r>
        <w:rPr>
          <w:rFonts w:cs="Arial"/>
          <w:b/>
          <w:szCs w:val="24"/>
        </w:rPr>
        <w:t>F</w:t>
      </w:r>
      <w:r w:rsidRPr="00823DF4">
        <w:rPr>
          <w:rFonts w:cs="Arial"/>
          <w:b/>
          <w:szCs w:val="24"/>
        </w:rPr>
        <w:t xml:space="preserve">ull-time equivalent </w:t>
      </w:r>
      <w:r w:rsidRPr="00823DF4">
        <w:rPr>
          <w:rFonts w:cs="Arial"/>
          <w:szCs w:val="24"/>
        </w:rPr>
        <w:t xml:space="preserve">total </w:t>
      </w:r>
      <w:r w:rsidRPr="00823DF4">
        <w:rPr>
          <w:rFonts w:cs="Arial"/>
          <w:b/>
          <w:szCs w:val="24"/>
        </w:rPr>
        <w:t xml:space="preserve">dropped </w:t>
      </w:r>
      <w:r w:rsidRPr="00823DF4">
        <w:rPr>
          <w:rFonts w:cs="Arial"/>
          <w:szCs w:val="24"/>
        </w:rPr>
        <w:t>a bit less (by 20)</w:t>
      </w:r>
      <w:r w:rsidRPr="00823DF4">
        <w:rPr>
          <w:rFonts w:cs="Arial"/>
          <w:b/>
          <w:szCs w:val="24"/>
        </w:rPr>
        <w:t xml:space="preserve"> </w:t>
      </w:r>
      <w:r w:rsidRPr="00823DF4">
        <w:rPr>
          <w:rFonts w:cs="Arial"/>
          <w:szCs w:val="24"/>
        </w:rPr>
        <w:t>from 610 to</w:t>
      </w:r>
      <w:r w:rsidRPr="00823DF4">
        <w:rPr>
          <w:rFonts w:cs="Arial"/>
          <w:b/>
          <w:szCs w:val="24"/>
        </w:rPr>
        <w:t xml:space="preserve"> 590 FTEs.</w:t>
      </w:r>
    </w:p>
    <w:p w14:paraId="4AA9BE9A" w14:textId="0DDAB87E" w:rsidR="00D938E7" w:rsidRPr="00A050AF" w:rsidRDefault="00D938E7" w:rsidP="000E3ADA">
      <w:pPr>
        <w:widowControl w:val="0"/>
        <w:numPr>
          <w:ilvl w:val="1"/>
          <w:numId w:val="15"/>
        </w:numPr>
        <w:autoSpaceDE w:val="0"/>
        <w:autoSpaceDN w:val="0"/>
        <w:adjustRightInd w:val="0"/>
        <w:spacing w:before="120" w:after="0" w:line="240" w:lineRule="auto"/>
        <w:rPr>
          <w:rFonts w:cs="Arial"/>
          <w:szCs w:val="24"/>
        </w:rPr>
      </w:pPr>
      <w:r w:rsidRPr="00A050AF">
        <w:rPr>
          <w:rFonts w:cs="Arial"/>
          <w:szCs w:val="24"/>
        </w:rPr>
        <w:t xml:space="preserve">There are </w:t>
      </w:r>
      <w:r w:rsidR="009721EB" w:rsidRPr="00A050AF">
        <w:rPr>
          <w:rFonts w:cs="Arial"/>
          <w:b/>
          <w:szCs w:val="24"/>
        </w:rPr>
        <w:t>315</w:t>
      </w:r>
      <w:r w:rsidRPr="00A050AF">
        <w:rPr>
          <w:rFonts w:cs="Arial"/>
          <w:b/>
          <w:szCs w:val="24"/>
        </w:rPr>
        <w:t xml:space="preserve"> </w:t>
      </w:r>
      <w:r w:rsidR="00D574E5">
        <w:rPr>
          <w:rFonts w:cs="Arial"/>
          <w:b/>
          <w:szCs w:val="24"/>
        </w:rPr>
        <w:t>COMS</w:t>
      </w:r>
      <w:r w:rsidRPr="00A050AF">
        <w:rPr>
          <w:rFonts w:cs="Arial"/>
          <w:szCs w:val="24"/>
        </w:rPr>
        <w:t xml:space="preserve"> providing </w:t>
      </w:r>
      <w:r w:rsidR="009721EB" w:rsidRPr="00A050AF">
        <w:rPr>
          <w:rFonts w:cs="Arial"/>
          <w:szCs w:val="24"/>
        </w:rPr>
        <w:t>direct service</w:t>
      </w:r>
      <w:r w:rsidR="00C47E59">
        <w:rPr>
          <w:rFonts w:cs="Arial"/>
          <w:szCs w:val="24"/>
        </w:rPr>
        <w:t>,</w:t>
      </w:r>
      <w:r w:rsidR="00823DF4">
        <w:rPr>
          <w:rFonts w:cs="Arial"/>
          <w:szCs w:val="24"/>
        </w:rPr>
        <w:t xml:space="preserve"> equaling </w:t>
      </w:r>
      <w:r w:rsidR="003D373B" w:rsidRPr="003D373B">
        <w:rPr>
          <w:rFonts w:cs="Arial"/>
          <w:b/>
          <w:szCs w:val="24"/>
        </w:rPr>
        <w:t>250 FTEs</w:t>
      </w:r>
      <w:r w:rsidR="003D373B">
        <w:rPr>
          <w:rFonts w:cs="Arial"/>
          <w:szCs w:val="24"/>
        </w:rPr>
        <w:t xml:space="preserve">. The total </w:t>
      </w:r>
      <w:r w:rsidR="003D373B" w:rsidRPr="00823DF4">
        <w:rPr>
          <w:rFonts w:cs="Arial"/>
          <w:b/>
          <w:szCs w:val="24"/>
        </w:rPr>
        <w:t>increased</w:t>
      </w:r>
      <w:r w:rsidR="003D373B">
        <w:rPr>
          <w:rFonts w:cs="Arial"/>
          <w:szCs w:val="24"/>
        </w:rPr>
        <w:t xml:space="preserve"> by </w:t>
      </w:r>
      <w:r w:rsidR="009721EB" w:rsidRPr="00A050AF">
        <w:rPr>
          <w:rFonts w:cs="Arial"/>
          <w:szCs w:val="24"/>
        </w:rPr>
        <w:t>9</w:t>
      </w:r>
      <w:r w:rsidR="00A050AF">
        <w:rPr>
          <w:rFonts w:cs="Arial"/>
          <w:szCs w:val="24"/>
        </w:rPr>
        <w:t xml:space="preserve"> individuals</w:t>
      </w:r>
      <w:r w:rsidR="003D373B">
        <w:rPr>
          <w:rFonts w:cs="Arial"/>
          <w:szCs w:val="24"/>
        </w:rPr>
        <w:t xml:space="preserve">, </w:t>
      </w:r>
      <w:r w:rsidR="00A050AF">
        <w:rPr>
          <w:rFonts w:cs="Arial"/>
          <w:szCs w:val="24"/>
        </w:rPr>
        <w:t xml:space="preserve">all in the full-time </w:t>
      </w:r>
      <w:r w:rsidR="00A050AF" w:rsidRPr="00A050AF">
        <w:rPr>
          <w:rFonts w:cs="Arial"/>
          <w:szCs w:val="24"/>
        </w:rPr>
        <w:t>category</w:t>
      </w:r>
      <w:r w:rsidRPr="00A050AF">
        <w:rPr>
          <w:rFonts w:cs="Arial"/>
          <w:szCs w:val="24"/>
        </w:rPr>
        <w:t>.</w:t>
      </w:r>
      <w:r w:rsidR="003D373B">
        <w:rPr>
          <w:rFonts w:cs="Arial"/>
          <w:szCs w:val="24"/>
        </w:rPr>
        <w:t xml:space="preserve"> </w:t>
      </w:r>
    </w:p>
    <w:p w14:paraId="6D0204B7" w14:textId="39790C0B" w:rsidR="00D938E7" w:rsidRPr="00A050AF" w:rsidRDefault="00A050AF" w:rsidP="000E3ADA">
      <w:pPr>
        <w:widowControl w:val="0"/>
        <w:numPr>
          <w:ilvl w:val="1"/>
          <w:numId w:val="15"/>
        </w:numPr>
        <w:autoSpaceDE w:val="0"/>
        <w:autoSpaceDN w:val="0"/>
        <w:adjustRightInd w:val="0"/>
        <w:spacing w:before="120" w:after="0" w:line="240" w:lineRule="auto"/>
        <w:rPr>
          <w:rFonts w:cs="Arial"/>
          <w:szCs w:val="24"/>
        </w:rPr>
      </w:pPr>
      <w:r w:rsidRPr="00A050AF">
        <w:rPr>
          <w:rFonts w:cs="Arial"/>
          <w:b/>
          <w:szCs w:val="24"/>
        </w:rPr>
        <w:t>Seventy-six</w:t>
      </w:r>
      <w:r w:rsidR="00D938E7" w:rsidRPr="00A050AF">
        <w:rPr>
          <w:rFonts w:cs="Arial"/>
          <w:b/>
          <w:szCs w:val="24"/>
        </w:rPr>
        <w:t xml:space="preserve"> VI professionals are dually certified</w:t>
      </w:r>
      <w:r w:rsidR="00D938E7" w:rsidRPr="00A050AF">
        <w:rPr>
          <w:rFonts w:cs="Arial"/>
          <w:szCs w:val="24"/>
        </w:rPr>
        <w:t xml:space="preserve">, providing both TVI and O&amp;M services. This is the </w:t>
      </w:r>
      <w:r w:rsidR="00D938E7" w:rsidRPr="00461166">
        <w:rPr>
          <w:rFonts w:cs="Arial"/>
          <w:b/>
          <w:szCs w:val="24"/>
        </w:rPr>
        <w:t>highest total ever reported</w:t>
      </w:r>
      <w:r w:rsidR="00D938E7" w:rsidRPr="00A050AF">
        <w:rPr>
          <w:rFonts w:cs="Arial"/>
          <w:szCs w:val="24"/>
        </w:rPr>
        <w:t xml:space="preserve"> by the ESCs.</w:t>
      </w:r>
    </w:p>
    <w:p w14:paraId="017BDA78" w14:textId="1B690E4A" w:rsidR="00D938E7" w:rsidRPr="00A050AF" w:rsidRDefault="00A050AF" w:rsidP="000E3ADA">
      <w:pPr>
        <w:widowControl w:val="0"/>
        <w:numPr>
          <w:ilvl w:val="1"/>
          <w:numId w:val="15"/>
        </w:numPr>
        <w:autoSpaceDE w:val="0"/>
        <w:autoSpaceDN w:val="0"/>
        <w:adjustRightInd w:val="0"/>
        <w:spacing w:before="120" w:after="0" w:line="240" w:lineRule="auto"/>
        <w:rPr>
          <w:rFonts w:cs="Arial"/>
          <w:szCs w:val="24"/>
        </w:rPr>
      </w:pPr>
      <w:r w:rsidRPr="00A050AF">
        <w:rPr>
          <w:rFonts w:cs="Arial"/>
          <w:b/>
          <w:szCs w:val="24"/>
        </w:rPr>
        <w:t>Approximately 23</w:t>
      </w:r>
      <w:r w:rsidR="00D938E7" w:rsidRPr="00A050AF">
        <w:rPr>
          <w:rFonts w:cs="Arial"/>
          <w:b/>
          <w:szCs w:val="24"/>
        </w:rPr>
        <w:t>%</w:t>
      </w:r>
      <w:r w:rsidR="00D938E7" w:rsidRPr="00A050AF">
        <w:rPr>
          <w:rFonts w:cs="Arial"/>
          <w:szCs w:val="24"/>
        </w:rPr>
        <w:t xml:space="preserve"> o</w:t>
      </w:r>
      <w:r w:rsidR="00897268">
        <w:rPr>
          <w:rFonts w:cs="Arial"/>
          <w:szCs w:val="24"/>
        </w:rPr>
        <w:t xml:space="preserve">f the total number of VI professionals serving students </w:t>
      </w:r>
      <w:r w:rsidR="00D938E7" w:rsidRPr="00A050AF">
        <w:rPr>
          <w:rFonts w:cs="Arial"/>
          <w:szCs w:val="24"/>
        </w:rPr>
        <w:t xml:space="preserve">are </w:t>
      </w:r>
      <w:r w:rsidR="00D938E7" w:rsidRPr="00A050AF">
        <w:rPr>
          <w:rFonts w:cs="Arial"/>
          <w:b/>
          <w:szCs w:val="24"/>
        </w:rPr>
        <w:t>contract service providers</w:t>
      </w:r>
      <w:r w:rsidR="00D938E7" w:rsidRPr="00A050AF">
        <w:rPr>
          <w:rFonts w:cs="Arial"/>
          <w:szCs w:val="24"/>
        </w:rPr>
        <w:t>.</w:t>
      </w:r>
    </w:p>
    <w:p w14:paraId="0778D5FC" w14:textId="4F064ECE" w:rsidR="00D938E7" w:rsidRPr="00A96C30" w:rsidRDefault="00A96C30" w:rsidP="00AD4D85">
      <w:pPr>
        <w:widowControl w:val="0"/>
        <w:numPr>
          <w:ilvl w:val="0"/>
          <w:numId w:val="15"/>
        </w:numPr>
        <w:autoSpaceDE w:val="0"/>
        <w:autoSpaceDN w:val="0"/>
        <w:adjustRightInd w:val="0"/>
        <w:spacing w:before="240" w:after="0" w:line="240" w:lineRule="auto"/>
        <w:rPr>
          <w:rFonts w:cs="Arial"/>
          <w:szCs w:val="24"/>
        </w:rPr>
      </w:pPr>
      <w:r w:rsidRPr="00A96C30">
        <w:rPr>
          <w:rFonts w:cs="Arial"/>
          <w:b/>
          <w:szCs w:val="24"/>
        </w:rPr>
        <w:t>C</w:t>
      </w:r>
      <w:r w:rsidR="00D938E7" w:rsidRPr="00A050AF">
        <w:rPr>
          <w:rFonts w:cs="Arial"/>
          <w:b/>
          <w:szCs w:val="24"/>
        </w:rPr>
        <w:t xml:space="preserve">ultural diversity </w:t>
      </w:r>
      <w:r w:rsidR="00D938E7" w:rsidRPr="00A050AF">
        <w:rPr>
          <w:rFonts w:cs="Arial"/>
          <w:szCs w:val="24"/>
        </w:rPr>
        <w:t>of VI professionals</w:t>
      </w:r>
      <w:r w:rsidR="00D938E7" w:rsidRPr="00A050AF">
        <w:rPr>
          <w:rFonts w:cs="Arial"/>
          <w:b/>
          <w:szCs w:val="24"/>
        </w:rPr>
        <w:t xml:space="preserve"> </w:t>
      </w:r>
      <w:r w:rsidR="005A4909" w:rsidRPr="005A4909">
        <w:rPr>
          <w:rFonts w:cs="Arial"/>
          <w:szCs w:val="24"/>
        </w:rPr>
        <w:t xml:space="preserve">showed both </w:t>
      </w:r>
      <w:r w:rsidRPr="005A4909">
        <w:rPr>
          <w:rFonts w:cs="Arial"/>
          <w:szCs w:val="24"/>
        </w:rPr>
        <w:t xml:space="preserve">signs </w:t>
      </w:r>
      <w:r w:rsidR="004E11D1" w:rsidRPr="005A4909">
        <w:rPr>
          <w:rFonts w:cs="Arial"/>
          <w:szCs w:val="24"/>
        </w:rPr>
        <w:t>of growth</w:t>
      </w:r>
      <w:r w:rsidR="00142168" w:rsidRPr="005A4909">
        <w:rPr>
          <w:rFonts w:cs="Arial"/>
          <w:szCs w:val="24"/>
        </w:rPr>
        <w:t xml:space="preserve"> and decline</w:t>
      </w:r>
      <w:r w:rsidR="00D938E7" w:rsidRPr="00A96C30">
        <w:rPr>
          <w:rFonts w:cs="Arial"/>
          <w:szCs w:val="24"/>
        </w:rPr>
        <w:t>.</w:t>
      </w:r>
    </w:p>
    <w:p w14:paraId="41B5D45A" w14:textId="62F87F40" w:rsidR="00D938E7" w:rsidRPr="00A050AF" w:rsidRDefault="00D938E7" w:rsidP="000E3ADA">
      <w:pPr>
        <w:widowControl w:val="0"/>
        <w:numPr>
          <w:ilvl w:val="1"/>
          <w:numId w:val="15"/>
        </w:numPr>
        <w:tabs>
          <w:tab w:val="left" w:pos="720"/>
        </w:tabs>
        <w:autoSpaceDE w:val="0"/>
        <w:autoSpaceDN w:val="0"/>
        <w:adjustRightInd w:val="0"/>
        <w:spacing w:before="120" w:after="0" w:line="240" w:lineRule="auto"/>
        <w:rPr>
          <w:rFonts w:cs="Arial"/>
          <w:szCs w:val="24"/>
        </w:rPr>
      </w:pPr>
      <w:r w:rsidRPr="00A050AF">
        <w:rPr>
          <w:rFonts w:cs="Arial"/>
          <w:szCs w:val="24"/>
        </w:rPr>
        <w:t xml:space="preserve">The number of </w:t>
      </w:r>
      <w:r w:rsidRPr="00A050AF">
        <w:rPr>
          <w:rFonts w:cs="Arial"/>
          <w:b/>
          <w:szCs w:val="24"/>
        </w:rPr>
        <w:t>VI professionals who are</w:t>
      </w:r>
      <w:r w:rsidRPr="00A050AF">
        <w:rPr>
          <w:rFonts w:cs="Arial"/>
          <w:szCs w:val="24"/>
        </w:rPr>
        <w:t xml:space="preserve"> </w:t>
      </w:r>
      <w:r w:rsidRPr="00A050AF">
        <w:rPr>
          <w:rFonts w:cs="Arial"/>
          <w:b/>
          <w:szCs w:val="24"/>
        </w:rPr>
        <w:t>African-American increased</w:t>
      </w:r>
      <w:r w:rsidR="0080319E">
        <w:rPr>
          <w:rFonts w:cs="Arial"/>
          <w:szCs w:val="24"/>
        </w:rPr>
        <w:t xml:space="preserve"> by</w:t>
      </w:r>
      <w:r w:rsidR="00C47E59">
        <w:rPr>
          <w:rFonts w:cs="Arial"/>
          <w:szCs w:val="24"/>
        </w:rPr>
        <w:t xml:space="preserve"> 15, or a</w:t>
      </w:r>
      <w:r w:rsidR="0080319E">
        <w:rPr>
          <w:rFonts w:cs="Arial"/>
          <w:szCs w:val="24"/>
        </w:rPr>
        <w:t xml:space="preserve"> 27</w:t>
      </w:r>
      <w:r w:rsidRPr="00A050AF">
        <w:rPr>
          <w:rFonts w:cs="Arial"/>
          <w:szCs w:val="24"/>
        </w:rPr>
        <w:t xml:space="preserve"> percent</w:t>
      </w:r>
      <w:r w:rsidR="00C47E59">
        <w:rPr>
          <w:rFonts w:cs="Arial"/>
          <w:szCs w:val="24"/>
        </w:rPr>
        <w:t xml:space="preserve"> increase</w:t>
      </w:r>
      <w:r w:rsidRPr="00A050AF">
        <w:rPr>
          <w:rFonts w:cs="Arial"/>
          <w:szCs w:val="24"/>
        </w:rPr>
        <w:t>.</w:t>
      </w:r>
    </w:p>
    <w:p w14:paraId="6F3F048D" w14:textId="1BA8EA34" w:rsidR="00353E33" w:rsidRDefault="00463C69" w:rsidP="000E3ADA">
      <w:pPr>
        <w:widowControl w:val="0"/>
        <w:numPr>
          <w:ilvl w:val="1"/>
          <w:numId w:val="15"/>
        </w:numPr>
        <w:tabs>
          <w:tab w:val="left" w:pos="720"/>
        </w:tabs>
        <w:autoSpaceDE w:val="0"/>
        <w:autoSpaceDN w:val="0"/>
        <w:adjustRightInd w:val="0"/>
        <w:spacing w:before="120" w:after="0" w:line="240" w:lineRule="auto"/>
        <w:rPr>
          <w:rFonts w:cs="Arial"/>
          <w:szCs w:val="24"/>
        </w:rPr>
      </w:pPr>
      <w:r>
        <w:rPr>
          <w:rFonts w:cs="Arial"/>
          <w:szCs w:val="24"/>
        </w:rPr>
        <w:t>T</w:t>
      </w:r>
      <w:r w:rsidR="005A4909">
        <w:rPr>
          <w:rFonts w:cs="Arial"/>
          <w:szCs w:val="24"/>
        </w:rPr>
        <w:t xml:space="preserve">he number </w:t>
      </w:r>
      <w:r>
        <w:rPr>
          <w:rFonts w:cs="Arial"/>
          <w:szCs w:val="24"/>
        </w:rPr>
        <w:t xml:space="preserve">of </w:t>
      </w:r>
      <w:r w:rsidRPr="005A4909">
        <w:rPr>
          <w:rFonts w:cs="Arial"/>
          <w:b/>
          <w:szCs w:val="24"/>
        </w:rPr>
        <w:t>VI professionals f</w:t>
      </w:r>
      <w:r w:rsidR="00353E33" w:rsidRPr="005A4909">
        <w:rPr>
          <w:rFonts w:cs="Arial"/>
          <w:b/>
          <w:szCs w:val="24"/>
        </w:rPr>
        <w:t>luent in Spanish</w:t>
      </w:r>
      <w:r w:rsidR="005A4909" w:rsidRPr="005A4909">
        <w:rPr>
          <w:rFonts w:cs="Arial"/>
          <w:b/>
          <w:szCs w:val="24"/>
        </w:rPr>
        <w:t xml:space="preserve"> increased</w:t>
      </w:r>
      <w:r w:rsidR="00C47E59">
        <w:rPr>
          <w:rFonts w:cs="Arial"/>
          <w:szCs w:val="24"/>
        </w:rPr>
        <w:t xml:space="preserve"> from 96 to 104, still less than the 106 in 2018.</w:t>
      </w:r>
    </w:p>
    <w:p w14:paraId="4B56EA41" w14:textId="60DB3FC4" w:rsidR="005A4909" w:rsidRPr="005A4909" w:rsidRDefault="005A4909" w:rsidP="000E3ADA">
      <w:pPr>
        <w:widowControl w:val="0"/>
        <w:numPr>
          <w:ilvl w:val="1"/>
          <w:numId w:val="15"/>
        </w:numPr>
        <w:tabs>
          <w:tab w:val="left" w:pos="720"/>
        </w:tabs>
        <w:autoSpaceDE w:val="0"/>
        <w:autoSpaceDN w:val="0"/>
        <w:adjustRightInd w:val="0"/>
        <w:spacing w:before="120" w:after="0" w:line="240" w:lineRule="auto"/>
        <w:rPr>
          <w:rFonts w:cs="Arial"/>
          <w:b/>
          <w:szCs w:val="24"/>
        </w:rPr>
      </w:pPr>
      <w:r w:rsidRPr="00897268">
        <w:rPr>
          <w:rFonts w:cs="Arial"/>
          <w:szCs w:val="24"/>
        </w:rPr>
        <w:t xml:space="preserve">The number of </w:t>
      </w:r>
      <w:r>
        <w:rPr>
          <w:rFonts w:cs="Arial"/>
          <w:b/>
          <w:szCs w:val="24"/>
        </w:rPr>
        <w:t>VI professionals</w:t>
      </w:r>
      <w:r w:rsidRPr="00897268">
        <w:rPr>
          <w:rFonts w:cs="Arial"/>
          <w:b/>
          <w:szCs w:val="24"/>
        </w:rPr>
        <w:t xml:space="preserve"> who are</w:t>
      </w:r>
      <w:r w:rsidRPr="00897268">
        <w:rPr>
          <w:rFonts w:cs="Arial"/>
          <w:szCs w:val="24"/>
        </w:rPr>
        <w:t xml:space="preserve"> </w:t>
      </w:r>
      <w:r w:rsidRPr="00897268">
        <w:rPr>
          <w:rFonts w:cs="Arial"/>
          <w:b/>
          <w:szCs w:val="24"/>
        </w:rPr>
        <w:t xml:space="preserve">Hispanic </w:t>
      </w:r>
      <w:r>
        <w:rPr>
          <w:rFonts w:cs="Arial"/>
          <w:szCs w:val="24"/>
        </w:rPr>
        <w:t xml:space="preserve">or </w:t>
      </w:r>
      <w:r>
        <w:rPr>
          <w:rFonts w:cs="Arial"/>
          <w:b/>
          <w:szCs w:val="24"/>
        </w:rPr>
        <w:t xml:space="preserve">Asian American </w:t>
      </w:r>
      <w:r w:rsidRPr="005A4909">
        <w:rPr>
          <w:rFonts w:cs="Arial"/>
          <w:b/>
          <w:szCs w:val="24"/>
        </w:rPr>
        <w:t>decreased</w:t>
      </w:r>
      <w:r w:rsidRPr="003D373B">
        <w:rPr>
          <w:rFonts w:cs="Arial"/>
          <w:szCs w:val="24"/>
        </w:rPr>
        <w:t xml:space="preserve"> </w:t>
      </w:r>
      <w:r>
        <w:rPr>
          <w:rFonts w:cs="Arial"/>
          <w:szCs w:val="24"/>
        </w:rPr>
        <w:t>in 2020</w:t>
      </w:r>
      <w:r w:rsidRPr="003D373B">
        <w:rPr>
          <w:rFonts w:cs="Arial"/>
          <w:szCs w:val="24"/>
        </w:rPr>
        <w:t>.</w:t>
      </w:r>
      <w:r w:rsidRPr="003D373B">
        <w:rPr>
          <w:rFonts w:cs="Arial"/>
          <w:b/>
          <w:szCs w:val="24"/>
        </w:rPr>
        <w:t xml:space="preserve"> </w:t>
      </w:r>
    </w:p>
    <w:p w14:paraId="020FB7F0" w14:textId="38E78353" w:rsidR="00D938E7" w:rsidRPr="00353E33" w:rsidRDefault="00D938E7" w:rsidP="00AD4D85">
      <w:pPr>
        <w:widowControl w:val="0"/>
        <w:numPr>
          <w:ilvl w:val="0"/>
          <w:numId w:val="15"/>
        </w:numPr>
        <w:autoSpaceDE w:val="0"/>
        <w:autoSpaceDN w:val="0"/>
        <w:adjustRightInd w:val="0"/>
        <w:spacing w:before="240" w:after="0" w:line="240" w:lineRule="auto"/>
        <w:rPr>
          <w:rFonts w:cs="Arial"/>
          <w:szCs w:val="24"/>
        </w:rPr>
      </w:pPr>
      <w:r w:rsidRPr="00353E33">
        <w:rPr>
          <w:rFonts w:cs="Arial"/>
          <w:b/>
          <w:szCs w:val="24"/>
        </w:rPr>
        <w:t xml:space="preserve">Attrition </w:t>
      </w:r>
      <w:r w:rsidRPr="00AD4D85">
        <w:rPr>
          <w:rFonts w:cs="Arial"/>
          <w:szCs w:val="24"/>
        </w:rPr>
        <w:t>in the previous year</w:t>
      </w:r>
      <w:r w:rsidRPr="00353E33">
        <w:rPr>
          <w:rFonts w:cs="Arial"/>
          <w:szCs w:val="24"/>
        </w:rPr>
        <w:t xml:space="preserve"> </w:t>
      </w:r>
      <w:r w:rsidRPr="00353E33">
        <w:rPr>
          <w:rFonts w:cs="Arial"/>
          <w:b/>
          <w:szCs w:val="24"/>
        </w:rPr>
        <w:t xml:space="preserve">increased slightly </w:t>
      </w:r>
      <w:r w:rsidR="00353E33" w:rsidRPr="00353E33">
        <w:rPr>
          <w:rFonts w:cs="Arial"/>
          <w:szCs w:val="24"/>
        </w:rPr>
        <w:t xml:space="preserve">from 44 </w:t>
      </w:r>
      <w:r w:rsidR="00353E33" w:rsidRPr="00AB5D78">
        <w:rPr>
          <w:rFonts w:cs="Arial"/>
          <w:szCs w:val="24"/>
        </w:rPr>
        <w:t xml:space="preserve">to </w:t>
      </w:r>
      <w:r w:rsidR="00353E33" w:rsidRPr="00AB5D78">
        <w:rPr>
          <w:rFonts w:cs="Arial"/>
          <w:b/>
          <w:szCs w:val="24"/>
        </w:rPr>
        <w:t>49</w:t>
      </w:r>
      <w:r w:rsidRPr="00AB5D78">
        <w:rPr>
          <w:rFonts w:cs="Arial"/>
          <w:szCs w:val="24"/>
        </w:rPr>
        <w:t xml:space="preserve"> individuals</w:t>
      </w:r>
      <w:r w:rsidRPr="00353E33">
        <w:rPr>
          <w:rFonts w:cs="Arial"/>
          <w:szCs w:val="24"/>
        </w:rPr>
        <w:t>. ESC consultants anticipate</w:t>
      </w:r>
      <w:r w:rsidR="00353E33">
        <w:rPr>
          <w:rFonts w:cs="Arial"/>
          <w:szCs w:val="24"/>
        </w:rPr>
        <w:t xml:space="preserve"> that</w:t>
      </w:r>
      <w:r w:rsidRPr="00353E33">
        <w:rPr>
          <w:rFonts w:cs="Arial"/>
          <w:szCs w:val="24"/>
        </w:rPr>
        <w:t xml:space="preserve"> 10</w:t>
      </w:r>
      <w:r w:rsidR="00353E33" w:rsidRPr="00353E33">
        <w:rPr>
          <w:rFonts w:cs="Arial"/>
          <w:szCs w:val="24"/>
        </w:rPr>
        <w:t>0 TVIs and 45</w:t>
      </w:r>
      <w:r w:rsidRPr="00353E33">
        <w:rPr>
          <w:rFonts w:cs="Arial"/>
          <w:szCs w:val="24"/>
        </w:rPr>
        <w:t xml:space="preserve"> COMS</w:t>
      </w:r>
      <w:r w:rsidR="00C47E59">
        <w:rPr>
          <w:rFonts w:cs="Arial"/>
          <w:szCs w:val="24"/>
        </w:rPr>
        <w:t xml:space="preserve"> (the highest projection</w:t>
      </w:r>
      <w:r w:rsidR="00C031DD">
        <w:rPr>
          <w:rFonts w:cs="Arial"/>
          <w:szCs w:val="24"/>
        </w:rPr>
        <w:t xml:space="preserve"> on record for COMS)</w:t>
      </w:r>
      <w:r w:rsidRPr="00353E33">
        <w:rPr>
          <w:rFonts w:cs="Arial"/>
          <w:szCs w:val="24"/>
        </w:rPr>
        <w:t xml:space="preserve">, or </w:t>
      </w:r>
      <w:r w:rsidR="00CB18FC">
        <w:rPr>
          <w:rFonts w:cs="Arial"/>
          <w:b/>
          <w:szCs w:val="24"/>
        </w:rPr>
        <w:t>13</w:t>
      </w:r>
      <w:r w:rsidRPr="00353E33">
        <w:rPr>
          <w:rFonts w:cs="Arial"/>
          <w:b/>
          <w:szCs w:val="24"/>
        </w:rPr>
        <w:t>% of existing VI professionals</w:t>
      </w:r>
      <w:r w:rsidRPr="00353E33">
        <w:rPr>
          <w:rFonts w:cs="Arial"/>
          <w:szCs w:val="24"/>
        </w:rPr>
        <w:t xml:space="preserve">, will retire or otherwise leave the field over the next 3 years. </w:t>
      </w:r>
    </w:p>
    <w:p w14:paraId="30102896" w14:textId="69723697" w:rsidR="00D938E7" w:rsidRPr="00E668C0" w:rsidRDefault="00D938E7" w:rsidP="00AD4D85">
      <w:pPr>
        <w:widowControl w:val="0"/>
        <w:numPr>
          <w:ilvl w:val="0"/>
          <w:numId w:val="15"/>
        </w:numPr>
        <w:tabs>
          <w:tab w:val="left" w:pos="360"/>
        </w:tabs>
        <w:autoSpaceDE w:val="0"/>
        <w:autoSpaceDN w:val="0"/>
        <w:adjustRightInd w:val="0"/>
        <w:spacing w:before="240" w:after="0" w:line="240" w:lineRule="auto"/>
        <w:rPr>
          <w:szCs w:val="24"/>
        </w:rPr>
      </w:pPr>
      <w:r w:rsidRPr="00BA518B">
        <w:rPr>
          <w:rFonts w:cs="Arial"/>
          <w:b/>
          <w:szCs w:val="24"/>
        </w:rPr>
        <w:t>The number of students with visual</w:t>
      </w:r>
      <w:r>
        <w:rPr>
          <w:rFonts w:cs="Arial"/>
          <w:b/>
          <w:szCs w:val="24"/>
        </w:rPr>
        <w:t xml:space="preserve"> impairments </w:t>
      </w:r>
      <w:r w:rsidRPr="00AD4D85">
        <w:rPr>
          <w:rFonts w:cs="Arial"/>
          <w:b/>
          <w:szCs w:val="24"/>
        </w:rPr>
        <w:t>grew</w:t>
      </w:r>
      <w:r w:rsidRPr="00E668C0">
        <w:rPr>
          <w:rFonts w:cs="Arial"/>
          <w:szCs w:val="24"/>
        </w:rPr>
        <w:t xml:space="preserve"> by </w:t>
      </w:r>
      <w:r>
        <w:rPr>
          <w:rFonts w:cs="Arial"/>
          <w:szCs w:val="24"/>
        </w:rPr>
        <w:t>3.5%, greater than the 2.7</w:t>
      </w:r>
      <w:r w:rsidRPr="00E668C0">
        <w:rPr>
          <w:rFonts w:cs="Arial"/>
          <w:szCs w:val="24"/>
        </w:rPr>
        <w:t>% average increase</w:t>
      </w:r>
      <w:r>
        <w:rPr>
          <w:rFonts w:cs="Arial"/>
          <w:szCs w:val="24"/>
        </w:rPr>
        <w:t xml:space="preserve"> </w:t>
      </w:r>
      <w:r w:rsidR="0080319E">
        <w:rPr>
          <w:rFonts w:cs="Arial"/>
          <w:szCs w:val="24"/>
        </w:rPr>
        <w:t xml:space="preserve">typically </w:t>
      </w:r>
      <w:r>
        <w:rPr>
          <w:rFonts w:cs="Arial"/>
          <w:szCs w:val="24"/>
        </w:rPr>
        <w:t>seen each year</w:t>
      </w:r>
      <w:r w:rsidRPr="00E668C0">
        <w:rPr>
          <w:rFonts w:cs="Arial"/>
          <w:szCs w:val="24"/>
        </w:rPr>
        <w:t>.</w:t>
      </w:r>
    </w:p>
    <w:p w14:paraId="76F1D763" w14:textId="77777777" w:rsidR="00D938E7" w:rsidRDefault="00D938E7" w:rsidP="000E3ADA">
      <w:pPr>
        <w:widowControl w:val="0"/>
        <w:numPr>
          <w:ilvl w:val="1"/>
          <w:numId w:val="15"/>
        </w:numPr>
        <w:tabs>
          <w:tab w:val="left" w:pos="360"/>
        </w:tabs>
        <w:autoSpaceDE w:val="0"/>
        <w:autoSpaceDN w:val="0"/>
        <w:adjustRightInd w:val="0"/>
        <w:spacing w:before="240" w:after="0" w:line="240" w:lineRule="auto"/>
        <w:rPr>
          <w:szCs w:val="24"/>
        </w:rPr>
      </w:pPr>
      <w:r w:rsidRPr="00BA518B">
        <w:rPr>
          <w:rFonts w:cs="Arial"/>
          <w:szCs w:val="24"/>
        </w:rPr>
        <w:t xml:space="preserve">In 2020, the </w:t>
      </w:r>
      <w:r>
        <w:rPr>
          <w:rFonts w:cs="Arial"/>
          <w:szCs w:val="24"/>
        </w:rPr>
        <w:t xml:space="preserve">total </w:t>
      </w:r>
      <w:r w:rsidRPr="00BA518B">
        <w:rPr>
          <w:rFonts w:cs="Arial"/>
          <w:szCs w:val="24"/>
        </w:rPr>
        <w:t xml:space="preserve">number of students reported to the </w:t>
      </w:r>
      <w:r w:rsidRPr="00BA518B">
        <w:rPr>
          <w:rFonts w:cs="Arial"/>
          <w:i/>
          <w:szCs w:val="24"/>
        </w:rPr>
        <w:t xml:space="preserve">Annual Registration of Students with Visual Impairments </w:t>
      </w:r>
      <w:r>
        <w:rPr>
          <w:rFonts w:cs="Arial"/>
          <w:szCs w:val="24"/>
        </w:rPr>
        <w:t xml:space="preserve">was </w:t>
      </w:r>
      <w:r w:rsidRPr="00E668C0">
        <w:rPr>
          <w:rFonts w:cs="Arial"/>
          <w:b/>
          <w:szCs w:val="24"/>
        </w:rPr>
        <w:t>11,125</w:t>
      </w:r>
      <w:r>
        <w:rPr>
          <w:rFonts w:cs="Arial"/>
          <w:szCs w:val="24"/>
        </w:rPr>
        <w:t xml:space="preserve">, adding </w:t>
      </w:r>
      <w:r w:rsidRPr="00E668C0">
        <w:rPr>
          <w:rFonts w:cs="Arial"/>
          <w:b/>
          <w:szCs w:val="24"/>
        </w:rPr>
        <w:t>372 students</w:t>
      </w:r>
      <w:r>
        <w:rPr>
          <w:rFonts w:cs="Arial"/>
          <w:szCs w:val="24"/>
        </w:rPr>
        <w:t>.</w:t>
      </w:r>
    </w:p>
    <w:p w14:paraId="36E0DA17" w14:textId="149427D5" w:rsidR="00D938E7" w:rsidRPr="004332AA" w:rsidRDefault="00D938E7" w:rsidP="000E3ADA">
      <w:pPr>
        <w:widowControl w:val="0"/>
        <w:numPr>
          <w:ilvl w:val="1"/>
          <w:numId w:val="15"/>
        </w:numPr>
        <w:tabs>
          <w:tab w:val="left" w:pos="360"/>
        </w:tabs>
        <w:autoSpaceDE w:val="0"/>
        <w:autoSpaceDN w:val="0"/>
        <w:adjustRightInd w:val="0"/>
        <w:spacing w:before="240" w:after="0" w:line="240" w:lineRule="auto"/>
        <w:rPr>
          <w:szCs w:val="24"/>
        </w:rPr>
      </w:pPr>
      <w:r w:rsidRPr="00383087">
        <w:rPr>
          <w:rFonts w:cs="Arial"/>
          <w:szCs w:val="24"/>
        </w:rPr>
        <w:t xml:space="preserve">An </w:t>
      </w:r>
      <w:r w:rsidRPr="00AB5D78">
        <w:rPr>
          <w:rFonts w:cs="Arial"/>
          <w:b/>
          <w:szCs w:val="24"/>
        </w:rPr>
        <w:t>increase in caseloads</w:t>
      </w:r>
      <w:r w:rsidRPr="00383087">
        <w:rPr>
          <w:rFonts w:cs="Arial"/>
          <w:szCs w:val="24"/>
        </w:rPr>
        <w:t xml:space="preserve"> </w:t>
      </w:r>
      <w:r w:rsidR="00C47E59">
        <w:rPr>
          <w:rFonts w:cs="Arial"/>
          <w:szCs w:val="24"/>
        </w:rPr>
        <w:t xml:space="preserve">was </w:t>
      </w:r>
      <w:r w:rsidRPr="00383087">
        <w:rPr>
          <w:rFonts w:cs="Arial"/>
          <w:szCs w:val="24"/>
        </w:rPr>
        <w:t xml:space="preserve">reported by 65% of </w:t>
      </w:r>
      <w:r w:rsidR="00C47E59">
        <w:rPr>
          <w:rFonts w:cs="Arial"/>
          <w:szCs w:val="24"/>
        </w:rPr>
        <w:t>the ESCs. An increase in caseloads is an unsurprising result of this student growth paired with the fact that there are fewer TVIs available.</w:t>
      </w:r>
    </w:p>
    <w:p w14:paraId="7B15F9C7" w14:textId="23494647" w:rsidR="00D938E7" w:rsidRPr="001E331F" w:rsidRDefault="00D938E7" w:rsidP="00AD4D85">
      <w:pPr>
        <w:widowControl w:val="0"/>
        <w:numPr>
          <w:ilvl w:val="0"/>
          <w:numId w:val="15"/>
        </w:numPr>
        <w:autoSpaceDE w:val="0"/>
        <w:autoSpaceDN w:val="0"/>
        <w:adjustRightInd w:val="0"/>
        <w:spacing w:before="240" w:after="0" w:line="240" w:lineRule="auto"/>
        <w:rPr>
          <w:rFonts w:cs="Arial"/>
          <w:szCs w:val="24"/>
        </w:rPr>
      </w:pPr>
      <w:r w:rsidRPr="001E331F">
        <w:rPr>
          <w:rFonts w:cs="Arial"/>
          <w:szCs w:val="24"/>
        </w:rPr>
        <w:t xml:space="preserve">The </w:t>
      </w:r>
      <w:r w:rsidRPr="001E331F">
        <w:rPr>
          <w:rFonts w:cs="Arial"/>
          <w:b/>
          <w:szCs w:val="24"/>
        </w:rPr>
        <w:t xml:space="preserve">total number of </w:t>
      </w:r>
      <w:r w:rsidR="0023796B">
        <w:rPr>
          <w:rFonts w:cs="Arial"/>
          <w:b/>
          <w:szCs w:val="24"/>
        </w:rPr>
        <w:t xml:space="preserve">university </w:t>
      </w:r>
      <w:r w:rsidRPr="001E331F">
        <w:rPr>
          <w:rFonts w:cs="Arial"/>
          <w:b/>
          <w:szCs w:val="24"/>
        </w:rPr>
        <w:t>students</w:t>
      </w:r>
      <w:r w:rsidRPr="001E331F">
        <w:rPr>
          <w:rFonts w:cs="Arial"/>
          <w:szCs w:val="24"/>
        </w:rPr>
        <w:t xml:space="preserve"> </w:t>
      </w:r>
      <w:r w:rsidR="0023796B" w:rsidRPr="0023796B">
        <w:rPr>
          <w:rFonts w:cs="Arial"/>
          <w:b/>
          <w:szCs w:val="24"/>
        </w:rPr>
        <w:t xml:space="preserve">statewide </w:t>
      </w:r>
      <w:r w:rsidRPr="001E331F">
        <w:rPr>
          <w:rFonts w:cs="Arial"/>
          <w:szCs w:val="24"/>
        </w:rPr>
        <w:t>entering VI and O&amp;M certification programs</w:t>
      </w:r>
      <w:r w:rsidRPr="001E331F">
        <w:rPr>
          <w:rFonts w:cs="Arial"/>
          <w:b/>
          <w:szCs w:val="24"/>
        </w:rPr>
        <w:t xml:space="preserve"> </w:t>
      </w:r>
      <w:r w:rsidRPr="001E331F">
        <w:rPr>
          <w:rFonts w:cs="Arial"/>
          <w:szCs w:val="24"/>
        </w:rPr>
        <w:t xml:space="preserve">at Stephen F. Austin State University and Texas Tech University </w:t>
      </w:r>
      <w:r w:rsidRPr="001E331F">
        <w:rPr>
          <w:rFonts w:cs="Arial"/>
          <w:b/>
          <w:szCs w:val="24"/>
        </w:rPr>
        <w:t>increased</w:t>
      </w:r>
      <w:r w:rsidRPr="001E331F">
        <w:rPr>
          <w:rFonts w:cs="Arial"/>
          <w:szCs w:val="24"/>
        </w:rPr>
        <w:t xml:space="preserve"> </w:t>
      </w:r>
      <w:r w:rsidR="0023796B" w:rsidRPr="00F26305">
        <w:rPr>
          <w:rFonts w:cs="Arial"/>
          <w:b/>
          <w:szCs w:val="24"/>
        </w:rPr>
        <w:t>by 18%</w:t>
      </w:r>
      <w:r w:rsidR="00F26305">
        <w:rPr>
          <w:rFonts w:cs="Arial"/>
          <w:szCs w:val="24"/>
        </w:rPr>
        <w:t xml:space="preserve">; however, </w:t>
      </w:r>
      <w:r w:rsidR="00F26305" w:rsidRPr="00F26305">
        <w:rPr>
          <w:rFonts w:cs="Arial"/>
          <w:b/>
          <w:szCs w:val="24"/>
        </w:rPr>
        <w:t>fewer</w:t>
      </w:r>
      <w:r w:rsidR="00F26305">
        <w:rPr>
          <w:rFonts w:cs="Arial"/>
          <w:szCs w:val="24"/>
        </w:rPr>
        <w:t xml:space="preserve"> students </w:t>
      </w:r>
      <w:r w:rsidR="00F26305">
        <w:rPr>
          <w:rFonts w:cs="Arial"/>
          <w:b/>
          <w:szCs w:val="24"/>
        </w:rPr>
        <w:t>completed</w:t>
      </w:r>
      <w:r w:rsidR="00AD4D85">
        <w:rPr>
          <w:rFonts w:cs="Arial"/>
          <w:szCs w:val="24"/>
        </w:rPr>
        <w:t xml:space="preserve"> </w:t>
      </w:r>
      <w:r w:rsidR="00F26305">
        <w:rPr>
          <w:rFonts w:cs="Arial"/>
          <w:szCs w:val="24"/>
        </w:rPr>
        <w:t>their program.</w:t>
      </w:r>
    </w:p>
    <w:p w14:paraId="151C3930" w14:textId="2476F04E" w:rsidR="00D938E7" w:rsidRPr="001D59D3" w:rsidRDefault="00D938E7" w:rsidP="000E3ADA">
      <w:pPr>
        <w:widowControl w:val="0"/>
        <w:numPr>
          <w:ilvl w:val="0"/>
          <w:numId w:val="50"/>
        </w:numPr>
        <w:autoSpaceDE w:val="0"/>
        <w:autoSpaceDN w:val="0"/>
        <w:adjustRightInd w:val="0"/>
        <w:spacing w:before="240" w:after="0" w:line="240" w:lineRule="auto"/>
        <w:rPr>
          <w:rFonts w:cs="Arial"/>
          <w:b/>
          <w:szCs w:val="24"/>
        </w:rPr>
      </w:pPr>
      <w:r w:rsidRPr="00525A1B">
        <w:t xml:space="preserve">There are </w:t>
      </w:r>
      <w:r w:rsidRPr="005E7BF5">
        <w:rPr>
          <w:b/>
        </w:rPr>
        <w:t>180 future VI professionals</w:t>
      </w:r>
      <w:r w:rsidRPr="00525A1B">
        <w:t xml:space="preserve"> in a program leading to certification as either a TVI or COMS. </w:t>
      </w:r>
      <w:r w:rsidRPr="0080319E">
        <w:t xml:space="preserve">One hundred twelve </w:t>
      </w:r>
      <w:r w:rsidR="0023796B" w:rsidRPr="0080319E">
        <w:t xml:space="preserve">students </w:t>
      </w:r>
      <w:r w:rsidRPr="0080319E">
        <w:t xml:space="preserve">are working toward their TVI </w:t>
      </w:r>
      <w:r w:rsidR="0080319E" w:rsidRPr="0080319E">
        <w:t>certification</w:t>
      </w:r>
      <w:r w:rsidR="001D59D3">
        <w:rPr>
          <w:rFonts w:cs="Arial"/>
          <w:b/>
          <w:szCs w:val="24"/>
        </w:rPr>
        <w:t xml:space="preserve"> </w:t>
      </w:r>
      <w:r w:rsidR="001D59D3">
        <w:t xml:space="preserve">and 68 </w:t>
      </w:r>
      <w:r w:rsidRPr="0080319E">
        <w:t>are enrolled</w:t>
      </w:r>
      <w:r w:rsidR="00765788">
        <w:t xml:space="preserve"> in an O&amp;M </w:t>
      </w:r>
      <w:r w:rsidRPr="0080319E">
        <w:t>program.</w:t>
      </w:r>
    </w:p>
    <w:p w14:paraId="76CA9D82" w14:textId="01EDB3BC" w:rsidR="00D938E7" w:rsidRPr="005E7BF5" w:rsidRDefault="00D938E7" w:rsidP="000E3ADA">
      <w:pPr>
        <w:widowControl w:val="0"/>
        <w:numPr>
          <w:ilvl w:val="0"/>
          <w:numId w:val="50"/>
        </w:numPr>
        <w:autoSpaceDE w:val="0"/>
        <w:autoSpaceDN w:val="0"/>
        <w:adjustRightInd w:val="0"/>
        <w:spacing w:before="240" w:after="0" w:line="240" w:lineRule="auto"/>
      </w:pPr>
      <w:r w:rsidRPr="005E7BF5">
        <w:rPr>
          <w:b/>
        </w:rPr>
        <w:t>Forty-nine individuals</w:t>
      </w:r>
      <w:r w:rsidRPr="005E7BF5">
        <w:t xml:space="preserve"> (34 TVIs and 15 COMS) </w:t>
      </w:r>
      <w:r w:rsidRPr="005E7BF5">
        <w:rPr>
          <w:b/>
        </w:rPr>
        <w:t>completed</w:t>
      </w:r>
      <w:r w:rsidRPr="005E7BF5">
        <w:t xml:space="preserve"> </w:t>
      </w:r>
      <w:r w:rsidRPr="0026154D">
        <w:rPr>
          <w:b/>
        </w:rPr>
        <w:t>a VI certification program in 2020</w:t>
      </w:r>
      <w:r w:rsidR="00AB5D78">
        <w:t xml:space="preserve">, 14% </w:t>
      </w:r>
      <w:r w:rsidRPr="005E7BF5">
        <w:t>fewer than in 2019.</w:t>
      </w:r>
      <w:r>
        <w:t xml:space="preserve"> Last year’s total of 57 was 30% less than the year prior.</w:t>
      </w:r>
    </w:p>
    <w:p w14:paraId="74C8D3B6" w14:textId="3A76D0B7" w:rsidR="0047265F" w:rsidRPr="0047265F" w:rsidRDefault="00D938E7" w:rsidP="000E3ADA">
      <w:pPr>
        <w:widowControl w:val="0"/>
        <w:numPr>
          <w:ilvl w:val="0"/>
          <w:numId w:val="50"/>
        </w:numPr>
        <w:autoSpaceDE w:val="0"/>
        <w:autoSpaceDN w:val="0"/>
        <w:adjustRightInd w:val="0"/>
        <w:spacing w:before="240" w:after="0" w:line="240" w:lineRule="auto"/>
      </w:pPr>
      <w:r w:rsidRPr="00DC5632">
        <w:rPr>
          <w:rFonts w:cs="Arial"/>
          <w:szCs w:val="24"/>
        </w:rPr>
        <w:t xml:space="preserve">The majority </w:t>
      </w:r>
      <w:r w:rsidRPr="00DC5632">
        <w:rPr>
          <w:rFonts w:cs="Arial"/>
          <w:b/>
          <w:szCs w:val="24"/>
        </w:rPr>
        <w:t>(70%) of students</w:t>
      </w:r>
      <w:r w:rsidRPr="00DC5632">
        <w:rPr>
          <w:rFonts w:cs="Arial"/>
          <w:szCs w:val="24"/>
        </w:rPr>
        <w:t xml:space="preserve"> enrolled in SFASU and TTU TVI and O&amp;M certification training programs </w:t>
      </w:r>
      <w:r w:rsidRPr="00DC5632">
        <w:rPr>
          <w:rFonts w:cs="Arial"/>
          <w:b/>
          <w:szCs w:val="24"/>
        </w:rPr>
        <w:t>receive funding support</w:t>
      </w:r>
      <w:r w:rsidRPr="00DC5632">
        <w:rPr>
          <w:rFonts w:cs="Arial"/>
          <w:szCs w:val="24"/>
        </w:rPr>
        <w:t xml:space="preserve"> for coursework</w:t>
      </w:r>
      <w:r w:rsidR="00C47E59">
        <w:rPr>
          <w:rFonts w:cs="Arial"/>
          <w:szCs w:val="24"/>
        </w:rPr>
        <w:t>.</w:t>
      </w:r>
    </w:p>
    <w:p w14:paraId="6DF1E411" w14:textId="77777777" w:rsidR="00765788" w:rsidRPr="00C64973" w:rsidRDefault="00765788" w:rsidP="00765788">
      <w:pPr>
        <w:widowControl w:val="0"/>
        <w:numPr>
          <w:ilvl w:val="0"/>
          <w:numId w:val="15"/>
        </w:numPr>
        <w:tabs>
          <w:tab w:val="left" w:pos="360"/>
        </w:tabs>
        <w:autoSpaceDE w:val="0"/>
        <w:autoSpaceDN w:val="0"/>
        <w:adjustRightInd w:val="0"/>
        <w:spacing w:before="240" w:after="0" w:line="240" w:lineRule="auto"/>
        <w:rPr>
          <w:szCs w:val="24"/>
        </w:rPr>
      </w:pPr>
      <w:r w:rsidRPr="00C64973">
        <w:rPr>
          <w:rFonts w:cs="Arial"/>
          <w:b/>
          <w:szCs w:val="24"/>
        </w:rPr>
        <w:t>Anticipated Need for VI Professionals</w:t>
      </w:r>
    </w:p>
    <w:p w14:paraId="73C74434" w14:textId="77777777" w:rsidR="00765788" w:rsidRPr="00C64973" w:rsidRDefault="00765788" w:rsidP="00765788">
      <w:pPr>
        <w:pStyle w:val="ListParagraph"/>
        <w:widowControl w:val="0"/>
        <w:numPr>
          <w:ilvl w:val="0"/>
          <w:numId w:val="49"/>
        </w:numPr>
        <w:tabs>
          <w:tab w:val="left" w:pos="360"/>
        </w:tabs>
        <w:autoSpaceDE w:val="0"/>
        <w:autoSpaceDN w:val="0"/>
        <w:adjustRightInd w:val="0"/>
        <w:spacing w:before="240" w:after="0" w:line="240" w:lineRule="auto"/>
        <w:ind w:left="1800"/>
        <w:rPr>
          <w:b/>
          <w:szCs w:val="24"/>
        </w:rPr>
      </w:pPr>
      <w:r w:rsidRPr="00C64973">
        <w:rPr>
          <w:szCs w:val="24"/>
        </w:rPr>
        <w:t>It is projected that Texas will need up to 71 additional full-ti</w:t>
      </w:r>
      <w:r>
        <w:rPr>
          <w:szCs w:val="24"/>
        </w:rPr>
        <w:t>me equivalent TVI new positions</w:t>
      </w:r>
      <w:r w:rsidRPr="00C64973">
        <w:rPr>
          <w:szCs w:val="24"/>
        </w:rPr>
        <w:t xml:space="preserve"> and 57 full-time equivalent COMS</w:t>
      </w:r>
      <w:r>
        <w:rPr>
          <w:szCs w:val="24"/>
        </w:rPr>
        <w:t xml:space="preserve"> new positions</w:t>
      </w:r>
      <w:r w:rsidRPr="00C64973">
        <w:rPr>
          <w:szCs w:val="24"/>
        </w:rPr>
        <w:t xml:space="preserve"> by 2023 to accommodate </w:t>
      </w:r>
      <w:r w:rsidRPr="00C64973">
        <w:rPr>
          <w:b/>
          <w:szCs w:val="24"/>
        </w:rPr>
        <w:t>student growth alone.</w:t>
      </w:r>
    </w:p>
    <w:p w14:paraId="3E907727" w14:textId="77777777" w:rsidR="00765788" w:rsidRPr="00B952A7" w:rsidRDefault="00765788" w:rsidP="00765788">
      <w:pPr>
        <w:pStyle w:val="ListParagraph"/>
        <w:widowControl w:val="0"/>
        <w:tabs>
          <w:tab w:val="left" w:pos="360"/>
        </w:tabs>
        <w:autoSpaceDE w:val="0"/>
        <w:autoSpaceDN w:val="0"/>
        <w:adjustRightInd w:val="0"/>
        <w:spacing w:before="240" w:after="0" w:line="240" w:lineRule="auto"/>
        <w:ind w:left="1800"/>
        <w:rPr>
          <w:szCs w:val="24"/>
          <w:highlight w:val="green"/>
        </w:rPr>
      </w:pPr>
    </w:p>
    <w:p w14:paraId="4737DB2D" w14:textId="2362CBE0" w:rsidR="00765788" w:rsidRPr="00765788" w:rsidRDefault="00765788" w:rsidP="00765788">
      <w:pPr>
        <w:pStyle w:val="ListParagraph"/>
        <w:widowControl w:val="0"/>
        <w:numPr>
          <w:ilvl w:val="0"/>
          <w:numId w:val="49"/>
        </w:numPr>
        <w:tabs>
          <w:tab w:val="left" w:pos="360"/>
        </w:tabs>
        <w:autoSpaceDE w:val="0"/>
        <w:autoSpaceDN w:val="0"/>
        <w:adjustRightInd w:val="0"/>
        <w:spacing w:before="240" w:after="0" w:line="240" w:lineRule="auto"/>
        <w:ind w:left="1800"/>
        <w:rPr>
          <w:szCs w:val="24"/>
        </w:rPr>
      </w:pPr>
      <w:r w:rsidRPr="00C64973">
        <w:t xml:space="preserve">Texas is estimated to need an additional 157-171 full-time equivalent TVIs and 86-102 full-time equivalent COMS in the next 3 years to replace those who are likely to leave the field </w:t>
      </w:r>
      <w:r w:rsidRPr="00C47E59">
        <w:rPr>
          <w:b/>
        </w:rPr>
        <w:t>and</w:t>
      </w:r>
      <w:r w:rsidRPr="00C64973">
        <w:t xml:space="preserve"> respond to anticipated student growth.</w:t>
      </w:r>
    </w:p>
    <w:p w14:paraId="2312B00F" w14:textId="77777777" w:rsidR="00765788" w:rsidRPr="00765788" w:rsidRDefault="00765788" w:rsidP="00765788">
      <w:pPr>
        <w:pStyle w:val="ListParagraph"/>
        <w:rPr>
          <w:szCs w:val="24"/>
        </w:rPr>
      </w:pPr>
    </w:p>
    <w:p w14:paraId="77BB9E40" w14:textId="77777777" w:rsidR="00765788" w:rsidRDefault="00765788" w:rsidP="00765788">
      <w:pPr>
        <w:pStyle w:val="ListParagraph"/>
        <w:widowControl w:val="0"/>
        <w:numPr>
          <w:ilvl w:val="1"/>
          <w:numId w:val="49"/>
        </w:numPr>
        <w:autoSpaceDE w:val="0"/>
        <w:autoSpaceDN w:val="0"/>
        <w:adjustRightInd w:val="0"/>
        <w:spacing w:before="240" w:after="0" w:line="240" w:lineRule="auto"/>
      </w:pPr>
      <w:r w:rsidRPr="00C64973">
        <w:t>If the university TVI program completion rates continue to reflect the 3-year</w:t>
      </w:r>
      <w:r>
        <w:t xml:space="preserve"> average </w:t>
      </w:r>
      <w:r w:rsidRPr="00C64973">
        <w:t>of 40 completers, the number of newly certified TVI</w:t>
      </w:r>
      <w:r>
        <w:t>s</w:t>
      </w:r>
      <w:r w:rsidRPr="00C64973">
        <w:t xml:space="preserve"> </w:t>
      </w:r>
      <w:r w:rsidRPr="0047265F">
        <w:rPr>
          <w:b/>
          <w:i/>
        </w:rPr>
        <w:t>will fall well below the range of anticipated need</w:t>
      </w:r>
      <w:r w:rsidRPr="00C64973">
        <w:t xml:space="preserve">. </w:t>
      </w:r>
    </w:p>
    <w:p w14:paraId="73B30265" w14:textId="77777777" w:rsidR="00765788" w:rsidRDefault="00765788" w:rsidP="00765788">
      <w:pPr>
        <w:pStyle w:val="ListParagraph"/>
        <w:widowControl w:val="0"/>
        <w:autoSpaceDE w:val="0"/>
        <w:autoSpaceDN w:val="0"/>
        <w:adjustRightInd w:val="0"/>
        <w:spacing w:before="240" w:after="0" w:line="240" w:lineRule="auto"/>
        <w:ind w:left="2160"/>
      </w:pPr>
    </w:p>
    <w:p w14:paraId="20341636" w14:textId="4DB8A0AC" w:rsidR="00765788" w:rsidRPr="000E3ADA" w:rsidRDefault="00765788" w:rsidP="000E3ADA">
      <w:pPr>
        <w:pStyle w:val="ListParagraph"/>
        <w:widowControl w:val="0"/>
        <w:numPr>
          <w:ilvl w:val="1"/>
          <w:numId w:val="49"/>
        </w:numPr>
        <w:autoSpaceDE w:val="0"/>
        <w:autoSpaceDN w:val="0"/>
        <w:adjustRightInd w:val="0"/>
        <w:spacing w:before="240" w:after="0" w:line="240" w:lineRule="auto"/>
      </w:pPr>
      <w:r w:rsidRPr="00C64973">
        <w:t xml:space="preserve">Presuming that </w:t>
      </w:r>
      <w:r>
        <w:t xml:space="preserve">O&amp;M </w:t>
      </w:r>
      <w:r w:rsidRPr="00C64973">
        <w:t>students continue to find challenges in completing their programs, and the number of completers continues at the same rate</w:t>
      </w:r>
      <w:r>
        <w:t xml:space="preserve"> over the next 3 years</w:t>
      </w:r>
      <w:r w:rsidRPr="00C64973">
        <w:t xml:space="preserve">, </w:t>
      </w:r>
      <w:r w:rsidRPr="00C64973">
        <w:rPr>
          <w:b/>
          <w:i/>
        </w:rPr>
        <w:t>it is likely that the need for a minimum of 86 new COMS by 2023</w:t>
      </w:r>
      <w:r w:rsidRPr="00C64973">
        <w:t xml:space="preserve"> </w:t>
      </w:r>
      <w:r w:rsidRPr="00C64973">
        <w:rPr>
          <w:b/>
          <w:i/>
        </w:rPr>
        <w:t>will not be met</w:t>
      </w:r>
      <w:r w:rsidRPr="00C64973">
        <w:t>.</w:t>
      </w:r>
    </w:p>
    <w:p w14:paraId="087627D0" w14:textId="2F2C873D" w:rsidR="00FB5EC4" w:rsidRPr="00C64973" w:rsidRDefault="00EA21BC" w:rsidP="00E37B35">
      <w:pPr>
        <w:pStyle w:val="Heading1"/>
      </w:pPr>
      <w:bookmarkStart w:id="18" w:name="_Toc284342456"/>
      <w:bookmarkStart w:id="19" w:name="_Toc347126879"/>
      <w:bookmarkStart w:id="20" w:name="_Toc347127148"/>
      <w:bookmarkStart w:id="21" w:name="_Toc408835444"/>
      <w:bookmarkStart w:id="22" w:name="_Toc61607293"/>
      <w:r w:rsidRPr="00C64973">
        <w:t xml:space="preserve">Characteristics </w:t>
      </w:r>
      <w:r w:rsidR="00FB5EC4" w:rsidRPr="00C64973">
        <w:t xml:space="preserve">of VI </w:t>
      </w:r>
      <w:r w:rsidR="00EA1318" w:rsidRPr="00C64973">
        <w:t xml:space="preserve">Professionals </w:t>
      </w:r>
      <w:r w:rsidR="00FB5EC4" w:rsidRPr="00C64973">
        <w:t>in Texas</w:t>
      </w:r>
      <w:bookmarkEnd w:id="18"/>
      <w:bookmarkEnd w:id="19"/>
      <w:bookmarkEnd w:id="20"/>
      <w:bookmarkEnd w:id="21"/>
      <w:bookmarkEnd w:id="22"/>
    </w:p>
    <w:p w14:paraId="37E21A73" w14:textId="7E26F832" w:rsidR="0056374B" w:rsidRPr="00C64973" w:rsidRDefault="0056374B" w:rsidP="0056374B">
      <w:pPr>
        <w:spacing w:line="288" w:lineRule="auto"/>
      </w:pPr>
      <w:r w:rsidRPr="00C64973">
        <w:t xml:space="preserve">The survey asked about the number of people </w:t>
      </w:r>
      <w:r w:rsidRPr="00C64973">
        <w:rPr>
          <w:i/>
          <w:iCs/>
        </w:rPr>
        <w:t>functioning</w:t>
      </w:r>
      <w:r w:rsidR="00C47E59">
        <w:t xml:space="preserve"> as VI professionals. While </w:t>
      </w:r>
      <w:r w:rsidR="004B78DF" w:rsidRPr="00C64973">
        <w:t>many professionals may hold</w:t>
      </w:r>
      <w:r w:rsidRPr="00C64973">
        <w:t xml:space="preserve"> certification as a teacher</w:t>
      </w:r>
      <w:r w:rsidR="00441BBF" w:rsidRPr="00C64973">
        <w:t xml:space="preserve"> </w:t>
      </w:r>
      <w:r w:rsidR="007D00EA" w:rsidRPr="00C64973">
        <w:t xml:space="preserve">of students with </w:t>
      </w:r>
      <w:r w:rsidR="00441BBF" w:rsidRPr="00C64973">
        <w:t>visual impairment</w:t>
      </w:r>
      <w:r w:rsidR="007D00EA" w:rsidRPr="00C64973">
        <w:t>s</w:t>
      </w:r>
      <w:r w:rsidRPr="00C64973">
        <w:t xml:space="preserve"> (</w:t>
      </w:r>
      <w:r w:rsidR="00723F4D" w:rsidRPr="00C64973">
        <w:t>TVI</w:t>
      </w:r>
      <w:r w:rsidRPr="00C64973">
        <w:t xml:space="preserve">) or </w:t>
      </w:r>
      <w:r w:rsidR="008664C3" w:rsidRPr="00C64973">
        <w:t xml:space="preserve">as </w:t>
      </w:r>
      <w:r w:rsidRPr="00C64973">
        <w:t xml:space="preserve">an orientation and mobility specialist (COMS </w:t>
      </w:r>
      <w:r w:rsidR="004B78DF" w:rsidRPr="00C64973">
        <w:t>or O&amp;M specialist), t</w:t>
      </w:r>
      <w:r w:rsidRPr="00C64973">
        <w:t xml:space="preserve">his report summarizes data on those with </w:t>
      </w:r>
      <w:r w:rsidRPr="00C64973">
        <w:rPr>
          <w:i/>
        </w:rPr>
        <w:t>a current job assignment</w:t>
      </w:r>
      <w:r w:rsidR="004B78DF" w:rsidRPr="00C64973">
        <w:rPr>
          <w:i/>
        </w:rPr>
        <w:t xml:space="preserve"> </w:t>
      </w:r>
      <w:r w:rsidR="004B78DF" w:rsidRPr="00C64973">
        <w:t xml:space="preserve">as a </w:t>
      </w:r>
      <w:r w:rsidR="00723F4D" w:rsidRPr="00C64973">
        <w:t>TVI</w:t>
      </w:r>
      <w:r w:rsidR="004B78DF" w:rsidRPr="00C64973">
        <w:t xml:space="preserve"> or COMS</w:t>
      </w:r>
      <w:r w:rsidR="004B78DF" w:rsidRPr="00C64973">
        <w:rPr>
          <w:i/>
        </w:rPr>
        <w:t xml:space="preserve">. </w:t>
      </w:r>
      <w:r w:rsidR="0025685C" w:rsidRPr="00C64973">
        <w:t>Although s</w:t>
      </w:r>
      <w:r w:rsidRPr="00C64973">
        <w:t xml:space="preserve">ome VI professionals hold </w:t>
      </w:r>
      <w:r w:rsidRPr="00C64973">
        <w:rPr>
          <w:i/>
        </w:rPr>
        <w:t>both</w:t>
      </w:r>
      <w:r w:rsidRPr="00C64973">
        <w:t xml:space="preserve"> </w:t>
      </w:r>
      <w:r w:rsidR="00723F4D" w:rsidRPr="00C64973">
        <w:t>TVI</w:t>
      </w:r>
      <w:r w:rsidR="0025685C" w:rsidRPr="00C64973">
        <w:t xml:space="preserve"> and O&amp;M certifications, </w:t>
      </w:r>
      <w:r w:rsidR="00C47E59">
        <w:t xml:space="preserve">only </w:t>
      </w:r>
      <w:r w:rsidR="0025685C" w:rsidRPr="00C64973">
        <w:t>t</w:t>
      </w:r>
      <w:r w:rsidRPr="00C64973">
        <w:t xml:space="preserve">hose </w:t>
      </w:r>
      <w:r w:rsidR="008664C3" w:rsidRPr="00C64973">
        <w:t xml:space="preserve">professionals </w:t>
      </w:r>
      <w:r w:rsidRPr="00C64973">
        <w:t xml:space="preserve">whose </w:t>
      </w:r>
      <w:r w:rsidR="00DC3E2D" w:rsidRPr="00C64973">
        <w:t xml:space="preserve">current </w:t>
      </w:r>
      <w:r w:rsidRPr="00C64973">
        <w:t xml:space="preserve">job assignment includes </w:t>
      </w:r>
      <w:r w:rsidR="00DC3E2D" w:rsidRPr="00C64973">
        <w:rPr>
          <w:b/>
          <w:i/>
        </w:rPr>
        <w:t xml:space="preserve">functioning </w:t>
      </w:r>
      <w:r w:rsidR="00DC3E2D" w:rsidRPr="00C64973">
        <w:t xml:space="preserve">in </w:t>
      </w:r>
      <w:r w:rsidRPr="00C64973">
        <w:t xml:space="preserve">both </w:t>
      </w:r>
      <w:r w:rsidR="00DC3E2D" w:rsidRPr="00C64973">
        <w:t xml:space="preserve">roles </w:t>
      </w:r>
      <w:r w:rsidRPr="00C64973">
        <w:t>ar</w:t>
      </w:r>
      <w:r w:rsidR="00DC3E2D" w:rsidRPr="00C64973">
        <w:t xml:space="preserve">e considered dually certified </w:t>
      </w:r>
      <w:r w:rsidRPr="00C64973">
        <w:t>for this report.</w:t>
      </w:r>
    </w:p>
    <w:p w14:paraId="06C0BD5B" w14:textId="6D12DD9F" w:rsidR="00FA6B73" w:rsidRPr="00C64973" w:rsidRDefault="00F12CBE" w:rsidP="00FA6B73">
      <w:pPr>
        <w:rPr>
          <w:b/>
          <w:color w:val="1A3866"/>
        </w:rPr>
      </w:pPr>
      <w:r w:rsidRPr="00C64973">
        <w:t xml:space="preserve">It is important to note </w:t>
      </w:r>
      <w:r w:rsidR="00FA6B73" w:rsidRPr="00C64973">
        <w:t>that most VI professionals are not classroom teachers; they are primarily itinerant specialists in visual impairment who work in a variety of schools, community settings, and homes. In addition to direct services, they also</w:t>
      </w:r>
      <w:r w:rsidR="00D551D7" w:rsidRPr="00C64973">
        <w:t xml:space="preserve"> provide critical consultations</w:t>
      </w:r>
      <w:r w:rsidR="007D00EA" w:rsidRPr="00C64973">
        <w:t xml:space="preserve"> to other team members </w:t>
      </w:r>
      <w:r w:rsidR="00CF387F" w:rsidRPr="00C64973">
        <w:t xml:space="preserve">about the functional impact of </w:t>
      </w:r>
      <w:r w:rsidR="00FA6B73" w:rsidRPr="00C64973">
        <w:t>specific visual impa</w:t>
      </w:r>
      <w:r w:rsidR="005830E0" w:rsidRPr="00C64973">
        <w:t>irment</w:t>
      </w:r>
      <w:r w:rsidR="00CF387F" w:rsidRPr="00C64973">
        <w:t xml:space="preserve">s on </w:t>
      </w:r>
      <w:r w:rsidR="005830E0" w:rsidRPr="00C64973">
        <w:t>student</w:t>
      </w:r>
      <w:r w:rsidR="00CF387F" w:rsidRPr="00C64973">
        <w:t>s</w:t>
      </w:r>
      <w:r w:rsidR="005830E0" w:rsidRPr="00C64973">
        <w:t xml:space="preserve"> in a range of </w:t>
      </w:r>
      <w:r w:rsidR="00FA6B73" w:rsidRPr="00C64973">
        <w:t>settings</w:t>
      </w:r>
      <w:r w:rsidR="00991FCB" w:rsidRPr="00C64973">
        <w:t>,</w:t>
      </w:r>
      <w:r w:rsidR="00FA6B73" w:rsidRPr="00C64973">
        <w:t xml:space="preserve"> and ensure that appropriately modified materials are available. Additionally, they must travel to the</w:t>
      </w:r>
      <w:r w:rsidR="00CF387F" w:rsidRPr="00C64973">
        <w:t>ir</w:t>
      </w:r>
      <w:r w:rsidR="00FA6B73" w:rsidRPr="00C64973">
        <w:t xml:space="preserve"> student</w:t>
      </w:r>
      <w:r w:rsidR="00555D84" w:rsidRPr="00C64973">
        <w:t>s</w:t>
      </w:r>
      <w:r w:rsidR="00FA6B73" w:rsidRPr="00C64973">
        <w:t xml:space="preserve"> and provide instruction in the home, school, and community environments, not in a single classroom. Understanding the difference between classroom teachers and VI professionals is crucial when assessing the current and future need for specialists in visual impairment (Correa-Torres &amp; Johnson Howell, 2004). </w:t>
      </w:r>
    </w:p>
    <w:p w14:paraId="781D76FB" w14:textId="54369BC5" w:rsidR="00FB5EC4" w:rsidRPr="00C64973" w:rsidRDefault="00FB5EC4" w:rsidP="00E37B35">
      <w:pPr>
        <w:pStyle w:val="Heading2"/>
      </w:pPr>
      <w:bookmarkStart w:id="23" w:name="_Toc284342457"/>
      <w:bookmarkStart w:id="24" w:name="_Toc347126880"/>
      <w:bookmarkStart w:id="25" w:name="_Toc347127149"/>
      <w:bookmarkStart w:id="26" w:name="_Toc408835445"/>
      <w:bookmarkStart w:id="27" w:name="_Toc61607294"/>
      <w:r w:rsidRPr="00C64973">
        <w:t>Number of VI professionals in Texas</w:t>
      </w:r>
      <w:bookmarkEnd w:id="23"/>
      <w:bookmarkEnd w:id="24"/>
      <w:bookmarkEnd w:id="25"/>
      <w:bookmarkEnd w:id="26"/>
      <w:bookmarkEnd w:id="27"/>
    </w:p>
    <w:p w14:paraId="2C547484" w14:textId="49424C85" w:rsidR="00637636" w:rsidRPr="00C64973" w:rsidRDefault="00637636" w:rsidP="00BB5242">
      <w:pPr>
        <w:rPr>
          <w:b/>
          <w:i/>
        </w:rPr>
      </w:pPr>
      <w:r w:rsidRPr="00C64973">
        <w:rPr>
          <w:b/>
          <w:i/>
        </w:rPr>
        <w:t>The numb</w:t>
      </w:r>
      <w:r w:rsidR="00D40B31" w:rsidRPr="00C64973">
        <w:rPr>
          <w:b/>
          <w:i/>
        </w:rPr>
        <w:t>er of VI professionals decreased</w:t>
      </w:r>
      <w:r w:rsidR="00F63952">
        <w:rPr>
          <w:b/>
          <w:i/>
        </w:rPr>
        <w:t xml:space="preserve"> by 3%</w:t>
      </w:r>
      <w:r w:rsidR="00D40B31" w:rsidRPr="00C64973">
        <w:rPr>
          <w:b/>
          <w:i/>
        </w:rPr>
        <w:t xml:space="preserve"> in the Fall of 2020</w:t>
      </w:r>
      <w:r w:rsidR="00A54C45" w:rsidRPr="00C64973">
        <w:rPr>
          <w:b/>
          <w:i/>
        </w:rPr>
        <w:t xml:space="preserve">. The </w:t>
      </w:r>
      <w:r w:rsidR="00A65305" w:rsidRPr="00C64973">
        <w:rPr>
          <w:b/>
          <w:i/>
        </w:rPr>
        <w:t xml:space="preserve">majority of the </w:t>
      </w:r>
      <w:r w:rsidR="00A54C45" w:rsidRPr="00C64973">
        <w:rPr>
          <w:b/>
          <w:i/>
        </w:rPr>
        <w:t xml:space="preserve">decrease was seen </w:t>
      </w:r>
      <w:r w:rsidR="00F56F0D" w:rsidRPr="00C64973">
        <w:rPr>
          <w:b/>
          <w:i/>
        </w:rPr>
        <w:t xml:space="preserve">in </w:t>
      </w:r>
      <w:r w:rsidR="00A54C45" w:rsidRPr="00C64973">
        <w:rPr>
          <w:b/>
          <w:i/>
        </w:rPr>
        <w:t xml:space="preserve">those providing </w:t>
      </w:r>
      <w:r w:rsidR="00F56F0D" w:rsidRPr="00C64973">
        <w:rPr>
          <w:b/>
          <w:i/>
        </w:rPr>
        <w:t xml:space="preserve">direct </w:t>
      </w:r>
      <w:r w:rsidR="00A54C45" w:rsidRPr="00C64973">
        <w:rPr>
          <w:b/>
          <w:i/>
        </w:rPr>
        <w:t xml:space="preserve">TVI services. </w:t>
      </w:r>
    </w:p>
    <w:p w14:paraId="00412F69" w14:textId="4890D70F" w:rsidR="002D4B42" w:rsidRPr="00C64973" w:rsidRDefault="002D4B42" w:rsidP="002D4B42">
      <w:r w:rsidRPr="00C64973">
        <w:t>This information h</w:t>
      </w:r>
      <w:r w:rsidR="00BC5792" w:rsidRPr="00C64973">
        <w:t xml:space="preserve">as been gathered annually </w:t>
      </w:r>
      <w:r w:rsidR="00FB13D0" w:rsidRPr="00C64973">
        <w:t>for 24</w:t>
      </w:r>
      <w:r w:rsidRPr="00C64973">
        <w:t xml:space="preserve"> years. Over that time the number of VI pr</w:t>
      </w:r>
      <w:r w:rsidR="00FD3794" w:rsidRPr="00C64973">
        <w:t xml:space="preserve">ofessionals has </w:t>
      </w:r>
      <w:r w:rsidR="00C47E59">
        <w:t xml:space="preserve">generally </w:t>
      </w:r>
      <w:r w:rsidR="00FD3794" w:rsidRPr="00C64973">
        <w:t xml:space="preserve">risen with </w:t>
      </w:r>
      <w:r w:rsidR="00054819" w:rsidRPr="00C64973">
        <w:t xml:space="preserve">an </w:t>
      </w:r>
      <w:r w:rsidRPr="00C64973">
        <w:t xml:space="preserve">occasional </w:t>
      </w:r>
      <w:r w:rsidR="00EF505D" w:rsidRPr="00C64973">
        <w:t>drop in numbers</w:t>
      </w:r>
      <w:r w:rsidR="000D50BA" w:rsidRPr="00C64973">
        <w:t xml:space="preserve">. </w:t>
      </w:r>
      <w:r w:rsidR="0025685C" w:rsidRPr="00C64973">
        <w:t>This year was an exceptional one</w:t>
      </w:r>
      <w:r w:rsidR="000D50BA" w:rsidRPr="00C64973">
        <w:t>,</w:t>
      </w:r>
      <w:r w:rsidR="0025685C" w:rsidRPr="00C64973">
        <w:t xml:space="preserve"> with the COVID-19 pandemic affecting the VI</w:t>
      </w:r>
      <w:r w:rsidR="000D50BA" w:rsidRPr="00C64973">
        <w:t xml:space="preserve"> field in multiple ways including </w:t>
      </w:r>
      <w:r w:rsidR="000C0B3E" w:rsidRPr="00C64973">
        <w:t xml:space="preserve">adding </w:t>
      </w:r>
      <w:r w:rsidR="00F74A3B" w:rsidRPr="00C64973">
        <w:t xml:space="preserve">another </w:t>
      </w:r>
      <w:r w:rsidR="00EF505D" w:rsidRPr="00C64973">
        <w:t>drop in the number of VI professionals</w:t>
      </w:r>
      <w:r w:rsidR="00F74A3B" w:rsidRPr="00C64973">
        <w:t xml:space="preserve"> to the record</w:t>
      </w:r>
      <w:r w:rsidR="0025685C" w:rsidRPr="00C64973">
        <w:t xml:space="preserve">. </w:t>
      </w:r>
      <w:r w:rsidR="00B9623B" w:rsidRPr="00C64973">
        <w:t>Th</w:t>
      </w:r>
      <w:r w:rsidRPr="00C64973">
        <w:t xml:space="preserve">e </w:t>
      </w:r>
      <w:r w:rsidR="00A54C45" w:rsidRPr="00C64973">
        <w:t>2020</w:t>
      </w:r>
      <w:r w:rsidR="00684400" w:rsidRPr="00C64973">
        <w:t xml:space="preserve"> </w:t>
      </w:r>
      <w:r w:rsidR="00D93B93" w:rsidRPr="00C64973">
        <w:t xml:space="preserve">total </w:t>
      </w:r>
      <w:r w:rsidRPr="00C64973">
        <w:t xml:space="preserve">number of VI professionals in Texas is </w:t>
      </w:r>
      <w:r w:rsidR="00F63952">
        <w:t>963</w:t>
      </w:r>
      <w:r w:rsidR="00BC5792" w:rsidRPr="00C64973">
        <w:t xml:space="preserve"> </w:t>
      </w:r>
      <w:r w:rsidRPr="00C64973">
        <w:t xml:space="preserve">individuals, or </w:t>
      </w:r>
      <w:r w:rsidR="00F63952">
        <w:t>approximately 887</w:t>
      </w:r>
      <w:r w:rsidRPr="00C64973">
        <w:t xml:space="preserve"> full-time equivalents (FTEs).</w:t>
      </w:r>
      <w:r w:rsidR="00FB13D0" w:rsidRPr="00C64973">
        <w:t xml:space="preserve"> </w:t>
      </w:r>
      <w:r w:rsidR="000D50BA" w:rsidRPr="00C64973">
        <w:t>This</w:t>
      </w:r>
      <w:r w:rsidR="00F74A3B" w:rsidRPr="00C64973">
        <w:t xml:space="preserve"> is a decrease of 29</w:t>
      </w:r>
      <w:r w:rsidR="000D50BA" w:rsidRPr="00C64973">
        <w:t>, the largest drop ever reported by the ESCs. A</w:t>
      </w:r>
      <w:r w:rsidR="00A54C45" w:rsidRPr="00C64973">
        <w:t xml:space="preserve"> </w:t>
      </w:r>
      <w:r w:rsidR="000D50BA" w:rsidRPr="00C64973">
        <w:t>similar decrease in numbers was reported in 2013 (a loss of 26</w:t>
      </w:r>
      <w:r w:rsidR="00F74A3B" w:rsidRPr="00C64973">
        <w:t xml:space="preserve"> individuals</w:t>
      </w:r>
      <w:r w:rsidR="00D93B93" w:rsidRPr="00C64973">
        <w:t>)</w:t>
      </w:r>
      <w:r w:rsidR="000C0B3E" w:rsidRPr="00C64973">
        <w:t xml:space="preserve"> and another</w:t>
      </w:r>
      <w:r w:rsidR="00360612">
        <w:t xml:space="preserve"> in 2017</w:t>
      </w:r>
      <w:r w:rsidR="00EF505D" w:rsidRPr="00C64973">
        <w:t xml:space="preserve"> (-18</w:t>
      </w:r>
      <w:r w:rsidR="00F74A3B" w:rsidRPr="00C64973">
        <w:t xml:space="preserve"> individuals</w:t>
      </w:r>
      <w:r w:rsidR="00EF505D" w:rsidRPr="00C64973">
        <w:t>). It</w:t>
      </w:r>
      <w:r w:rsidR="00D93B93" w:rsidRPr="00C64973">
        <w:t xml:space="preserve"> was encouraging to see that totals increased significantly </w:t>
      </w:r>
      <w:r w:rsidR="00EF505D" w:rsidRPr="00C64973">
        <w:t>in both cases the following year. We can remain hopeful that this trend will continue and the field will grow again next y</w:t>
      </w:r>
      <w:r w:rsidR="00F74A3B" w:rsidRPr="00C64973">
        <w:t>ear;</w:t>
      </w:r>
      <w:r w:rsidR="00EF505D" w:rsidRPr="00C64973">
        <w:t xml:space="preserve"> however, it </w:t>
      </w:r>
      <w:r w:rsidR="000D50BA" w:rsidRPr="00C64973">
        <w:t>is important to consider</w:t>
      </w:r>
      <w:r w:rsidR="00985268" w:rsidRPr="00C64973">
        <w:t xml:space="preserve"> that </w:t>
      </w:r>
      <w:r w:rsidR="00EF505D" w:rsidRPr="00C64973">
        <w:t>in January of 2020 the</w:t>
      </w:r>
      <w:r w:rsidRPr="00C64973">
        <w:t xml:space="preserve"> </w:t>
      </w:r>
      <w:r w:rsidRPr="00C64973">
        <w:rPr>
          <w:i/>
        </w:rPr>
        <w:t>Annual Registration of Students with Visual Impairments</w:t>
      </w:r>
      <w:r w:rsidRPr="00C64973">
        <w:t xml:space="preserve"> identif</w:t>
      </w:r>
      <w:r w:rsidR="00A54C45" w:rsidRPr="00C64973">
        <w:t>ied 372</w:t>
      </w:r>
      <w:r w:rsidR="00BC5792" w:rsidRPr="00C64973">
        <w:t xml:space="preserve"> </w:t>
      </w:r>
      <w:r w:rsidR="00744B82" w:rsidRPr="00C64973">
        <w:t xml:space="preserve">additional students, a </w:t>
      </w:r>
      <w:r w:rsidR="00A54C45" w:rsidRPr="00C64973">
        <w:t>3.5</w:t>
      </w:r>
      <w:r w:rsidRPr="00C64973">
        <w:t xml:space="preserve">% increase in the </w:t>
      </w:r>
      <w:r w:rsidR="000817AC" w:rsidRPr="00C64973">
        <w:t>student pop</w:t>
      </w:r>
      <w:r w:rsidR="00F74A3B" w:rsidRPr="00C64973">
        <w:t xml:space="preserve">ulation </w:t>
      </w:r>
      <w:r w:rsidR="00A54C45" w:rsidRPr="00C64973">
        <w:t>(TSBVI, 2020</w:t>
      </w:r>
      <w:r w:rsidRPr="00C64973">
        <w:t xml:space="preserve">). </w:t>
      </w:r>
      <w:r w:rsidR="00EF505D" w:rsidRPr="00C64973">
        <w:t xml:space="preserve">This is </w:t>
      </w:r>
      <w:r w:rsidR="0072158D" w:rsidRPr="00C64973">
        <w:t>higher than the</w:t>
      </w:r>
      <w:r w:rsidR="00B9623B" w:rsidRPr="00C64973">
        <w:t xml:space="preserve"> average</w:t>
      </w:r>
      <w:r w:rsidR="0072158D" w:rsidRPr="00C64973">
        <w:t xml:space="preserve"> </w:t>
      </w:r>
      <w:r w:rsidR="00555D84" w:rsidRPr="00C64973">
        <w:t xml:space="preserve">annual </w:t>
      </w:r>
      <w:r w:rsidR="0072158D" w:rsidRPr="00C64973">
        <w:t xml:space="preserve">student </w:t>
      </w:r>
      <w:r w:rsidR="00A54C45" w:rsidRPr="00C64973">
        <w:t>increase of 2.8</w:t>
      </w:r>
      <w:r w:rsidR="00FB13D0" w:rsidRPr="00C64973">
        <w:t xml:space="preserve"> p</w:t>
      </w:r>
      <w:r w:rsidR="00555D84" w:rsidRPr="00C64973">
        <w:t>ercent</w:t>
      </w:r>
      <w:r w:rsidR="00D97FCA">
        <w:t xml:space="preserve"> seen in previous years</w:t>
      </w:r>
      <w:r w:rsidR="00555D84" w:rsidRPr="00C64973">
        <w:t>.</w:t>
      </w:r>
    </w:p>
    <w:p w14:paraId="0F5E0F02" w14:textId="2FF3B677" w:rsidR="00AB5D78" w:rsidRDefault="00142168" w:rsidP="002D4B42">
      <w:pPr>
        <w:pStyle w:val="Header"/>
        <w:tabs>
          <w:tab w:val="clear" w:pos="4320"/>
          <w:tab w:val="clear" w:pos="8640"/>
        </w:tabs>
        <w:spacing w:line="288" w:lineRule="auto"/>
      </w:pPr>
      <w:r>
        <w:t xml:space="preserve">The graph that follows </w:t>
      </w:r>
      <w:r w:rsidR="002D4B42" w:rsidRPr="00C64973">
        <w:t>displays the changes in the numb</w:t>
      </w:r>
      <w:r w:rsidR="009C05D0" w:rsidRPr="00C64973">
        <w:t xml:space="preserve">er of VI professionals over ten years, </w:t>
      </w:r>
      <w:r w:rsidR="002318CE" w:rsidRPr="00C64973">
        <w:t>from 20</w:t>
      </w:r>
      <w:r w:rsidR="009C05D0" w:rsidRPr="00C64973">
        <w:t>10</w:t>
      </w:r>
      <w:r w:rsidR="002318CE" w:rsidRPr="00C64973">
        <w:t>-2020</w:t>
      </w:r>
      <w:r w:rsidR="002D4B42" w:rsidRPr="00C64973">
        <w:t xml:space="preserve">. </w:t>
      </w:r>
    </w:p>
    <w:p w14:paraId="70228173" w14:textId="29F130C5" w:rsidR="00142168" w:rsidRDefault="00142168" w:rsidP="00AB5D78">
      <w:pPr>
        <w:pStyle w:val="Header"/>
        <w:tabs>
          <w:tab w:val="clear" w:pos="4320"/>
          <w:tab w:val="clear" w:pos="8640"/>
        </w:tabs>
        <w:spacing w:line="288" w:lineRule="auto"/>
      </w:pPr>
    </w:p>
    <w:p w14:paraId="263104C5" w14:textId="662B3335" w:rsidR="00142168" w:rsidRDefault="00142168" w:rsidP="00AB5D78">
      <w:pPr>
        <w:pStyle w:val="Header"/>
        <w:tabs>
          <w:tab w:val="clear" w:pos="4320"/>
          <w:tab w:val="clear" w:pos="8640"/>
        </w:tabs>
        <w:spacing w:line="288" w:lineRule="auto"/>
      </w:pPr>
    </w:p>
    <w:p w14:paraId="2A3FF774" w14:textId="5FDB2A89" w:rsidR="00142168" w:rsidRDefault="00574BC5" w:rsidP="00AB5D78">
      <w:pPr>
        <w:pStyle w:val="Header"/>
        <w:tabs>
          <w:tab w:val="clear" w:pos="4320"/>
          <w:tab w:val="clear" w:pos="8640"/>
        </w:tabs>
        <w:spacing w:line="288" w:lineRule="auto"/>
      </w:pPr>
      <w:r w:rsidRPr="00C64973">
        <w:rPr>
          <w:noProof/>
        </w:rPr>
        <w:drawing>
          <wp:anchor distT="0" distB="0" distL="114300" distR="114300" simplePos="0" relativeHeight="251747840" behindDoc="0" locked="0" layoutInCell="1" allowOverlap="1" wp14:anchorId="7FB1F0A3" wp14:editId="78A42BF9">
            <wp:simplePos x="0" y="0"/>
            <wp:positionH relativeFrom="margin">
              <wp:posOffset>-165100</wp:posOffset>
            </wp:positionH>
            <wp:positionV relativeFrom="page">
              <wp:posOffset>-635</wp:posOffset>
            </wp:positionV>
            <wp:extent cx="6508750" cy="230886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08750" cy="2308860"/>
                    </a:xfrm>
                    <a:prstGeom prst="rect">
                      <a:avLst/>
                    </a:prstGeom>
                    <a:noFill/>
                  </pic:spPr>
                </pic:pic>
              </a:graphicData>
            </a:graphic>
            <wp14:sizeRelH relativeFrom="margin">
              <wp14:pctWidth>0</wp14:pctWidth>
            </wp14:sizeRelH>
            <wp14:sizeRelV relativeFrom="margin">
              <wp14:pctHeight>0</wp14:pctHeight>
            </wp14:sizeRelV>
          </wp:anchor>
        </w:drawing>
      </w:r>
      <w:r w:rsidR="00F3318E" w:rsidRPr="00C64973">
        <w:t>Graph 1:  Number of VI Professionals in Texas</w:t>
      </w:r>
    </w:p>
    <w:p w14:paraId="60602A23" w14:textId="0DEEC586" w:rsidR="00196A63" w:rsidRPr="00142168" w:rsidRDefault="003A21A0" w:rsidP="00AB5D78">
      <w:pPr>
        <w:pStyle w:val="Header"/>
        <w:tabs>
          <w:tab w:val="clear" w:pos="4320"/>
          <w:tab w:val="clear" w:pos="8640"/>
        </w:tabs>
        <w:spacing w:line="288" w:lineRule="auto"/>
      </w:pPr>
      <w:r>
        <w:rPr>
          <w:rFonts w:cs="Arial"/>
          <w:sz w:val="18"/>
          <w:szCs w:val="18"/>
        </w:rPr>
        <w:t xml:space="preserve">Line graph indicating an increase in VI Professionals between </w:t>
      </w:r>
      <w:r w:rsidR="008C1103">
        <w:rPr>
          <w:rFonts w:cs="Arial"/>
          <w:sz w:val="18"/>
          <w:szCs w:val="18"/>
        </w:rPr>
        <w:t xml:space="preserve">2010 </w:t>
      </w:r>
      <w:r>
        <w:rPr>
          <w:rFonts w:cs="Arial"/>
          <w:sz w:val="18"/>
          <w:szCs w:val="18"/>
        </w:rPr>
        <w:t xml:space="preserve">and 2012 </w:t>
      </w:r>
      <w:r w:rsidR="008C1103">
        <w:rPr>
          <w:rFonts w:cs="Arial"/>
          <w:sz w:val="18"/>
          <w:szCs w:val="18"/>
        </w:rPr>
        <w:t>before falling</w:t>
      </w:r>
      <w:r>
        <w:rPr>
          <w:rFonts w:cs="Arial"/>
          <w:sz w:val="18"/>
          <w:szCs w:val="18"/>
        </w:rPr>
        <w:t xml:space="preserve"> in 2013 and rising again in 2014. Totals decrease again </w:t>
      </w:r>
      <w:r w:rsidR="00196A63" w:rsidRPr="0080319E">
        <w:rPr>
          <w:rFonts w:cs="Arial"/>
          <w:sz w:val="18"/>
          <w:szCs w:val="18"/>
        </w:rPr>
        <w:t>thr</w:t>
      </w:r>
      <w:r>
        <w:rPr>
          <w:rFonts w:cs="Arial"/>
          <w:sz w:val="18"/>
          <w:szCs w:val="18"/>
        </w:rPr>
        <w:t xml:space="preserve">ee years in a row before increasing </w:t>
      </w:r>
      <w:r w:rsidR="00196A63" w:rsidRPr="0080319E">
        <w:rPr>
          <w:rFonts w:cs="Arial"/>
          <w:sz w:val="18"/>
          <w:szCs w:val="18"/>
        </w:rPr>
        <w:t>to 956 in 2018 and 992 in 2019</w:t>
      </w:r>
      <w:r>
        <w:rPr>
          <w:rFonts w:cs="Arial"/>
          <w:sz w:val="18"/>
          <w:szCs w:val="18"/>
        </w:rPr>
        <w:t xml:space="preserve"> and falling to 963 in 2020</w:t>
      </w:r>
      <w:r w:rsidR="00196A63" w:rsidRPr="0080319E">
        <w:rPr>
          <w:rFonts w:cs="Arial"/>
          <w:sz w:val="18"/>
          <w:szCs w:val="18"/>
        </w:rPr>
        <w:t>.</w:t>
      </w:r>
    </w:p>
    <w:tbl>
      <w:tblPr>
        <w:tblW w:w="0" w:type="auto"/>
        <w:tblLook w:val="04A0" w:firstRow="1" w:lastRow="0" w:firstColumn="1" w:lastColumn="0" w:noHBand="0" w:noVBand="1"/>
      </w:tblPr>
      <w:tblGrid>
        <w:gridCol w:w="2365"/>
        <w:gridCol w:w="222"/>
        <w:gridCol w:w="222"/>
        <w:gridCol w:w="661"/>
        <w:gridCol w:w="661"/>
        <w:gridCol w:w="661"/>
        <w:gridCol w:w="661"/>
        <w:gridCol w:w="661"/>
        <w:gridCol w:w="661"/>
        <w:gridCol w:w="661"/>
        <w:gridCol w:w="661"/>
        <w:gridCol w:w="661"/>
        <w:gridCol w:w="661"/>
        <w:gridCol w:w="661"/>
      </w:tblGrid>
      <w:tr w:rsidR="00C630FD" w:rsidRPr="00C630FD" w14:paraId="5FAD3E4F" w14:textId="77777777" w:rsidTr="00C630FD">
        <w:trPr>
          <w:trHeight w:val="255"/>
        </w:trPr>
        <w:tc>
          <w:tcPr>
            <w:tcW w:w="0" w:type="auto"/>
            <w:tcBorders>
              <w:top w:val="nil"/>
              <w:left w:val="nil"/>
              <w:bottom w:val="nil"/>
              <w:right w:val="nil"/>
            </w:tcBorders>
            <w:shd w:val="clear" w:color="FFFF00" w:fill="FFFF00"/>
            <w:noWrap/>
            <w:vAlign w:val="bottom"/>
            <w:hideMark/>
          </w:tcPr>
          <w:p w14:paraId="313DF46F" w14:textId="1F2F14C6" w:rsidR="00C630FD" w:rsidRPr="00C630FD" w:rsidRDefault="00C630FD" w:rsidP="00C630FD">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0D70903" w14:textId="1B9FE32E" w:rsidR="00C630FD" w:rsidRPr="00C630FD" w:rsidRDefault="00C630FD" w:rsidP="00C630FD">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448184E4" w14:textId="1C378BF3" w:rsidR="00C630FD" w:rsidRPr="00C630FD" w:rsidRDefault="00C630FD" w:rsidP="00C630FD">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7D3FFA3" w14:textId="77777777" w:rsidR="00C630FD" w:rsidRPr="00C630FD" w:rsidRDefault="00C630FD" w:rsidP="00C630FD">
            <w:pPr>
              <w:spacing w:after="0" w:line="240" w:lineRule="auto"/>
              <w:jc w:val="right"/>
              <w:rPr>
                <w:rFonts w:cs="Arial"/>
                <w:sz w:val="20"/>
              </w:rPr>
            </w:pPr>
            <w:r w:rsidRPr="00C630FD">
              <w:rPr>
                <w:rFonts w:cs="Arial"/>
                <w:sz w:val="20"/>
              </w:rPr>
              <w:t>2010</w:t>
            </w:r>
          </w:p>
        </w:tc>
        <w:tc>
          <w:tcPr>
            <w:tcW w:w="0" w:type="auto"/>
            <w:tcBorders>
              <w:top w:val="nil"/>
              <w:left w:val="nil"/>
              <w:bottom w:val="nil"/>
              <w:right w:val="nil"/>
            </w:tcBorders>
            <w:shd w:val="clear" w:color="auto" w:fill="auto"/>
            <w:noWrap/>
            <w:vAlign w:val="bottom"/>
            <w:hideMark/>
          </w:tcPr>
          <w:p w14:paraId="5B02DDC4" w14:textId="77777777" w:rsidR="00C630FD" w:rsidRPr="00C630FD" w:rsidRDefault="00C630FD" w:rsidP="00C630FD">
            <w:pPr>
              <w:spacing w:after="0" w:line="240" w:lineRule="auto"/>
              <w:jc w:val="right"/>
              <w:rPr>
                <w:rFonts w:cs="Arial"/>
                <w:sz w:val="20"/>
              </w:rPr>
            </w:pPr>
            <w:r w:rsidRPr="00C630FD">
              <w:rPr>
                <w:rFonts w:cs="Arial"/>
                <w:sz w:val="20"/>
              </w:rPr>
              <w:t>2011</w:t>
            </w:r>
          </w:p>
        </w:tc>
        <w:tc>
          <w:tcPr>
            <w:tcW w:w="0" w:type="auto"/>
            <w:tcBorders>
              <w:top w:val="nil"/>
              <w:left w:val="nil"/>
              <w:bottom w:val="nil"/>
              <w:right w:val="nil"/>
            </w:tcBorders>
            <w:shd w:val="clear" w:color="auto" w:fill="auto"/>
            <w:noWrap/>
            <w:vAlign w:val="bottom"/>
            <w:hideMark/>
          </w:tcPr>
          <w:p w14:paraId="180281F8" w14:textId="77777777" w:rsidR="00C630FD" w:rsidRPr="00C630FD" w:rsidRDefault="00C630FD" w:rsidP="00C630FD">
            <w:pPr>
              <w:spacing w:after="0" w:line="240" w:lineRule="auto"/>
              <w:jc w:val="right"/>
              <w:rPr>
                <w:rFonts w:cs="Arial"/>
                <w:sz w:val="20"/>
              </w:rPr>
            </w:pPr>
            <w:r w:rsidRPr="00C630FD">
              <w:rPr>
                <w:rFonts w:cs="Arial"/>
                <w:sz w:val="20"/>
              </w:rPr>
              <w:t>2012</w:t>
            </w:r>
          </w:p>
        </w:tc>
        <w:tc>
          <w:tcPr>
            <w:tcW w:w="0" w:type="auto"/>
            <w:tcBorders>
              <w:top w:val="nil"/>
              <w:left w:val="nil"/>
              <w:bottom w:val="nil"/>
              <w:right w:val="nil"/>
            </w:tcBorders>
            <w:shd w:val="clear" w:color="auto" w:fill="auto"/>
            <w:noWrap/>
            <w:vAlign w:val="bottom"/>
            <w:hideMark/>
          </w:tcPr>
          <w:p w14:paraId="3340D1CC" w14:textId="77777777" w:rsidR="00C630FD" w:rsidRPr="00C630FD" w:rsidRDefault="00C630FD" w:rsidP="00C630FD">
            <w:pPr>
              <w:spacing w:after="0" w:line="240" w:lineRule="auto"/>
              <w:jc w:val="right"/>
              <w:rPr>
                <w:rFonts w:cs="Arial"/>
                <w:sz w:val="20"/>
              </w:rPr>
            </w:pPr>
            <w:r w:rsidRPr="00C630FD">
              <w:rPr>
                <w:rFonts w:cs="Arial"/>
                <w:sz w:val="20"/>
              </w:rPr>
              <w:t>2013</w:t>
            </w:r>
          </w:p>
        </w:tc>
        <w:tc>
          <w:tcPr>
            <w:tcW w:w="0" w:type="auto"/>
            <w:tcBorders>
              <w:top w:val="nil"/>
              <w:left w:val="nil"/>
              <w:bottom w:val="nil"/>
              <w:right w:val="nil"/>
            </w:tcBorders>
            <w:shd w:val="clear" w:color="auto" w:fill="auto"/>
            <w:noWrap/>
            <w:vAlign w:val="bottom"/>
            <w:hideMark/>
          </w:tcPr>
          <w:p w14:paraId="58BD5C9E" w14:textId="77777777" w:rsidR="00C630FD" w:rsidRPr="00C630FD" w:rsidRDefault="00C630FD" w:rsidP="00C630FD">
            <w:pPr>
              <w:spacing w:after="0" w:line="240" w:lineRule="auto"/>
              <w:jc w:val="right"/>
              <w:rPr>
                <w:rFonts w:cs="Arial"/>
                <w:sz w:val="20"/>
              </w:rPr>
            </w:pPr>
            <w:r w:rsidRPr="00C630FD">
              <w:rPr>
                <w:rFonts w:cs="Arial"/>
                <w:sz w:val="20"/>
              </w:rPr>
              <w:t>2014</w:t>
            </w:r>
          </w:p>
        </w:tc>
        <w:tc>
          <w:tcPr>
            <w:tcW w:w="0" w:type="auto"/>
            <w:tcBorders>
              <w:top w:val="nil"/>
              <w:left w:val="nil"/>
              <w:bottom w:val="nil"/>
              <w:right w:val="nil"/>
            </w:tcBorders>
            <w:shd w:val="clear" w:color="auto" w:fill="auto"/>
            <w:noWrap/>
            <w:vAlign w:val="bottom"/>
            <w:hideMark/>
          </w:tcPr>
          <w:p w14:paraId="73970D9C" w14:textId="77777777" w:rsidR="00C630FD" w:rsidRPr="00C630FD" w:rsidRDefault="00C630FD" w:rsidP="00C630FD">
            <w:pPr>
              <w:spacing w:after="0" w:line="240" w:lineRule="auto"/>
              <w:jc w:val="right"/>
              <w:rPr>
                <w:rFonts w:cs="Arial"/>
                <w:sz w:val="20"/>
              </w:rPr>
            </w:pPr>
            <w:r w:rsidRPr="00C630FD">
              <w:rPr>
                <w:rFonts w:cs="Arial"/>
                <w:sz w:val="20"/>
              </w:rPr>
              <w:t>2015</w:t>
            </w:r>
          </w:p>
        </w:tc>
        <w:tc>
          <w:tcPr>
            <w:tcW w:w="0" w:type="auto"/>
            <w:tcBorders>
              <w:top w:val="nil"/>
              <w:left w:val="nil"/>
              <w:bottom w:val="nil"/>
              <w:right w:val="nil"/>
            </w:tcBorders>
            <w:shd w:val="clear" w:color="auto" w:fill="auto"/>
            <w:noWrap/>
            <w:vAlign w:val="bottom"/>
            <w:hideMark/>
          </w:tcPr>
          <w:p w14:paraId="04F20F50" w14:textId="77777777" w:rsidR="00C630FD" w:rsidRPr="00C630FD" w:rsidRDefault="00C630FD" w:rsidP="00C630FD">
            <w:pPr>
              <w:spacing w:after="0" w:line="240" w:lineRule="auto"/>
              <w:jc w:val="right"/>
              <w:rPr>
                <w:rFonts w:cs="Arial"/>
                <w:sz w:val="20"/>
              </w:rPr>
            </w:pPr>
            <w:r w:rsidRPr="00C630FD">
              <w:rPr>
                <w:rFonts w:cs="Arial"/>
                <w:sz w:val="20"/>
              </w:rPr>
              <w:t>2016</w:t>
            </w:r>
          </w:p>
        </w:tc>
        <w:tc>
          <w:tcPr>
            <w:tcW w:w="0" w:type="auto"/>
            <w:tcBorders>
              <w:top w:val="nil"/>
              <w:left w:val="nil"/>
              <w:bottom w:val="nil"/>
              <w:right w:val="nil"/>
            </w:tcBorders>
            <w:shd w:val="clear" w:color="auto" w:fill="auto"/>
            <w:noWrap/>
            <w:vAlign w:val="bottom"/>
            <w:hideMark/>
          </w:tcPr>
          <w:p w14:paraId="55422A6E" w14:textId="77777777" w:rsidR="00C630FD" w:rsidRPr="00C630FD" w:rsidRDefault="00C630FD" w:rsidP="00C630FD">
            <w:pPr>
              <w:spacing w:after="0" w:line="240" w:lineRule="auto"/>
              <w:jc w:val="right"/>
              <w:rPr>
                <w:rFonts w:cs="Arial"/>
                <w:sz w:val="20"/>
              </w:rPr>
            </w:pPr>
            <w:r w:rsidRPr="00C630FD">
              <w:rPr>
                <w:rFonts w:cs="Arial"/>
                <w:sz w:val="20"/>
              </w:rPr>
              <w:t>2017</w:t>
            </w:r>
          </w:p>
        </w:tc>
        <w:tc>
          <w:tcPr>
            <w:tcW w:w="0" w:type="auto"/>
            <w:tcBorders>
              <w:top w:val="nil"/>
              <w:left w:val="nil"/>
              <w:bottom w:val="nil"/>
              <w:right w:val="nil"/>
            </w:tcBorders>
            <w:shd w:val="clear" w:color="auto" w:fill="auto"/>
            <w:noWrap/>
            <w:vAlign w:val="bottom"/>
            <w:hideMark/>
          </w:tcPr>
          <w:p w14:paraId="6662AAE8" w14:textId="77777777" w:rsidR="00C630FD" w:rsidRPr="00C630FD" w:rsidRDefault="00C630FD" w:rsidP="00C630FD">
            <w:pPr>
              <w:spacing w:after="0" w:line="240" w:lineRule="auto"/>
              <w:jc w:val="right"/>
              <w:rPr>
                <w:rFonts w:cs="Arial"/>
                <w:sz w:val="20"/>
              </w:rPr>
            </w:pPr>
            <w:r w:rsidRPr="00C630FD">
              <w:rPr>
                <w:rFonts w:cs="Arial"/>
                <w:sz w:val="20"/>
              </w:rPr>
              <w:t>2018</w:t>
            </w:r>
          </w:p>
        </w:tc>
        <w:tc>
          <w:tcPr>
            <w:tcW w:w="0" w:type="auto"/>
            <w:tcBorders>
              <w:top w:val="nil"/>
              <w:left w:val="nil"/>
              <w:bottom w:val="nil"/>
              <w:right w:val="nil"/>
            </w:tcBorders>
            <w:shd w:val="clear" w:color="auto" w:fill="auto"/>
            <w:noWrap/>
            <w:vAlign w:val="bottom"/>
            <w:hideMark/>
          </w:tcPr>
          <w:p w14:paraId="7243642A" w14:textId="77777777" w:rsidR="00C630FD" w:rsidRPr="00C630FD" w:rsidRDefault="00C630FD" w:rsidP="00C630FD">
            <w:pPr>
              <w:spacing w:after="0" w:line="240" w:lineRule="auto"/>
              <w:jc w:val="right"/>
              <w:rPr>
                <w:rFonts w:cs="Arial"/>
                <w:sz w:val="20"/>
              </w:rPr>
            </w:pPr>
            <w:r w:rsidRPr="00C630FD">
              <w:rPr>
                <w:rFonts w:cs="Arial"/>
                <w:sz w:val="20"/>
              </w:rPr>
              <w:t>2019</w:t>
            </w:r>
          </w:p>
        </w:tc>
        <w:tc>
          <w:tcPr>
            <w:tcW w:w="0" w:type="auto"/>
            <w:tcBorders>
              <w:top w:val="nil"/>
              <w:left w:val="nil"/>
              <w:bottom w:val="nil"/>
              <w:right w:val="nil"/>
            </w:tcBorders>
            <w:shd w:val="clear" w:color="auto" w:fill="auto"/>
            <w:noWrap/>
            <w:vAlign w:val="bottom"/>
            <w:hideMark/>
          </w:tcPr>
          <w:p w14:paraId="1E668FF4" w14:textId="77777777" w:rsidR="00C630FD" w:rsidRPr="00C630FD" w:rsidRDefault="00C630FD" w:rsidP="00C630FD">
            <w:pPr>
              <w:spacing w:after="0" w:line="240" w:lineRule="auto"/>
              <w:jc w:val="right"/>
              <w:rPr>
                <w:rFonts w:cs="Arial"/>
                <w:sz w:val="20"/>
              </w:rPr>
            </w:pPr>
            <w:r w:rsidRPr="00C630FD">
              <w:rPr>
                <w:rFonts w:cs="Arial"/>
                <w:sz w:val="20"/>
              </w:rPr>
              <w:t>2020</w:t>
            </w:r>
          </w:p>
        </w:tc>
      </w:tr>
      <w:tr w:rsidR="00C630FD" w:rsidRPr="00C630FD" w14:paraId="5D76AED7" w14:textId="77777777" w:rsidTr="00C630FD">
        <w:trPr>
          <w:trHeight w:val="495"/>
        </w:trPr>
        <w:tc>
          <w:tcPr>
            <w:tcW w:w="0" w:type="auto"/>
            <w:tcBorders>
              <w:top w:val="nil"/>
              <w:left w:val="nil"/>
              <w:bottom w:val="nil"/>
              <w:right w:val="nil"/>
            </w:tcBorders>
            <w:shd w:val="clear" w:color="auto" w:fill="auto"/>
            <w:vAlign w:val="bottom"/>
            <w:hideMark/>
          </w:tcPr>
          <w:p w14:paraId="143C3F28" w14:textId="77777777" w:rsidR="00C630FD" w:rsidRPr="00C630FD" w:rsidRDefault="00C630FD" w:rsidP="00C630FD">
            <w:pPr>
              <w:spacing w:after="0" w:line="240" w:lineRule="auto"/>
              <w:rPr>
                <w:rFonts w:cs="Arial"/>
                <w:sz w:val="20"/>
              </w:rPr>
            </w:pPr>
            <w:r w:rsidRPr="00C630FD">
              <w:rPr>
                <w:rFonts w:cs="Arial"/>
                <w:sz w:val="20"/>
              </w:rPr>
              <w:t>Total VI professionals (</w:t>
            </w:r>
            <w:proofErr w:type="spellStart"/>
            <w:r w:rsidRPr="00C630FD">
              <w:rPr>
                <w:rFonts w:cs="Arial"/>
                <w:sz w:val="20"/>
              </w:rPr>
              <w:t>adj</w:t>
            </w:r>
            <w:proofErr w:type="spellEnd"/>
            <w:r w:rsidRPr="00C630FD">
              <w:rPr>
                <w:rFonts w:cs="Arial"/>
                <w:sz w:val="20"/>
              </w:rPr>
              <w:t xml:space="preserve"> for dually certified)</w:t>
            </w:r>
          </w:p>
        </w:tc>
        <w:tc>
          <w:tcPr>
            <w:tcW w:w="0" w:type="auto"/>
            <w:tcBorders>
              <w:top w:val="nil"/>
              <w:left w:val="nil"/>
              <w:bottom w:val="nil"/>
              <w:right w:val="nil"/>
            </w:tcBorders>
            <w:shd w:val="clear" w:color="auto" w:fill="auto"/>
            <w:noWrap/>
            <w:vAlign w:val="bottom"/>
            <w:hideMark/>
          </w:tcPr>
          <w:p w14:paraId="664FAEEE" w14:textId="77777777" w:rsidR="00C630FD" w:rsidRPr="00C630FD" w:rsidRDefault="00C630FD" w:rsidP="00C630FD">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9F6D2A8" w14:textId="77777777" w:rsidR="00C630FD" w:rsidRPr="00C630FD" w:rsidRDefault="00C630FD" w:rsidP="00C630FD">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CFC239D" w14:textId="77777777" w:rsidR="00C630FD" w:rsidRPr="00C630FD" w:rsidRDefault="00C630FD" w:rsidP="00C630FD">
            <w:pPr>
              <w:spacing w:after="0" w:line="240" w:lineRule="auto"/>
              <w:jc w:val="right"/>
              <w:rPr>
                <w:rFonts w:cs="Arial"/>
                <w:sz w:val="20"/>
              </w:rPr>
            </w:pPr>
            <w:r w:rsidRPr="00C630FD">
              <w:rPr>
                <w:rFonts w:cs="Arial"/>
                <w:sz w:val="20"/>
              </w:rPr>
              <w:t>954</w:t>
            </w:r>
          </w:p>
        </w:tc>
        <w:tc>
          <w:tcPr>
            <w:tcW w:w="0" w:type="auto"/>
            <w:tcBorders>
              <w:top w:val="nil"/>
              <w:left w:val="nil"/>
              <w:bottom w:val="nil"/>
              <w:right w:val="nil"/>
            </w:tcBorders>
            <w:shd w:val="clear" w:color="auto" w:fill="auto"/>
            <w:noWrap/>
            <w:vAlign w:val="bottom"/>
            <w:hideMark/>
          </w:tcPr>
          <w:p w14:paraId="5FEF1ACB" w14:textId="77777777" w:rsidR="00C630FD" w:rsidRPr="00C630FD" w:rsidRDefault="00C630FD" w:rsidP="00C630FD">
            <w:pPr>
              <w:spacing w:after="0" w:line="240" w:lineRule="auto"/>
              <w:jc w:val="right"/>
              <w:rPr>
                <w:rFonts w:cs="Arial"/>
                <w:sz w:val="20"/>
              </w:rPr>
            </w:pPr>
            <w:r w:rsidRPr="00C630FD">
              <w:rPr>
                <w:rFonts w:cs="Arial"/>
                <w:sz w:val="20"/>
              </w:rPr>
              <w:t>909</w:t>
            </w:r>
          </w:p>
        </w:tc>
        <w:tc>
          <w:tcPr>
            <w:tcW w:w="0" w:type="auto"/>
            <w:tcBorders>
              <w:top w:val="nil"/>
              <w:left w:val="nil"/>
              <w:bottom w:val="nil"/>
              <w:right w:val="nil"/>
            </w:tcBorders>
            <w:shd w:val="clear" w:color="auto" w:fill="auto"/>
            <w:noWrap/>
            <w:vAlign w:val="bottom"/>
            <w:hideMark/>
          </w:tcPr>
          <w:p w14:paraId="72E3D900" w14:textId="77777777" w:rsidR="00C630FD" w:rsidRPr="00C630FD" w:rsidRDefault="00C630FD" w:rsidP="00C630FD">
            <w:pPr>
              <w:spacing w:after="0" w:line="240" w:lineRule="auto"/>
              <w:jc w:val="right"/>
              <w:rPr>
                <w:rFonts w:cs="Arial"/>
                <w:sz w:val="20"/>
              </w:rPr>
            </w:pPr>
            <w:r w:rsidRPr="00C630FD">
              <w:rPr>
                <w:rFonts w:cs="Arial"/>
                <w:sz w:val="20"/>
              </w:rPr>
              <w:t>940</w:t>
            </w:r>
          </w:p>
        </w:tc>
        <w:tc>
          <w:tcPr>
            <w:tcW w:w="0" w:type="auto"/>
            <w:tcBorders>
              <w:top w:val="nil"/>
              <w:left w:val="nil"/>
              <w:bottom w:val="nil"/>
              <w:right w:val="nil"/>
            </w:tcBorders>
            <w:shd w:val="clear" w:color="auto" w:fill="auto"/>
            <w:noWrap/>
            <w:vAlign w:val="bottom"/>
            <w:hideMark/>
          </w:tcPr>
          <w:p w14:paraId="2A08CD7D" w14:textId="77777777" w:rsidR="00C630FD" w:rsidRPr="00C630FD" w:rsidRDefault="00C630FD" w:rsidP="00C630FD">
            <w:pPr>
              <w:spacing w:after="0" w:line="240" w:lineRule="auto"/>
              <w:jc w:val="right"/>
              <w:rPr>
                <w:rFonts w:cs="Arial"/>
                <w:sz w:val="20"/>
              </w:rPr>
            </w:pPr>
            <w:r w:rsidRPr="00C630FD">
              <w:rPr>
                <w:rFonts w:cs="Arial"/>
                <w:sz w:val="20"/>
              </w:rPr>
              <w:t>914</w:t>
            </w:r>
          </w:p>
        </w:tc>
        <w:tc>
          <w:tcPr>
            <w:tcW w:w="0" w:type="auto"/>
            <w:tcBorders>
              <w:top w:val="nil"/>
              <w:left w:val="nil"/>
              <w:bottom w:val="nil"/>
              <w:right w:val="nil"/>
            </w:tcBorders>
            <w:shd w:val="clear" w:color="auto" w:fill="auto"/>
            <w:noWrap/>
            <w:vAlign w:val="bottom"/>
            <w:hideMark/>
          </w:tcPr>
          <w:p w14:paraId="2EBFEAE2" w14:textId="77777777" w:rsidR="00C630FD" w:rsidRPr="00C630FD" w:rsidRDefault="00C630FD" w:rsidP="00C630FD">
            <w:pPr>
              <w:spacing w:after="0" w:line="240" w:lineRule="auto"/>
              <w:jc w:val="right"/>
              <w:rPr>
                <w:rFonts w:cs="Arial"/>
                <w:sz w:val="20"/>
              </w:rPr>
            </w:pPr>
            <w:r w:rsidRPr="00C630FD">
              <w:rPr>
                <w:rFonts w:cs="Arial"/>
                <w:sz w:val="20"/>
              </w:rPr>
              <w:t>960</w:t>
            </w:r>
          </w:p>
        </w:tc>
        <w:tc>
          <w:tcPr>
            <w:tcW w:w="0" w:type="auto"/>
            <w:tcBorders>
              <w:top w:val="nil"/>
              <w:left w:val="nil"/>
              <w:bottom w:val="nil"/>
              <w:right w:val="nil"/>
            </w:tcBorders>
            <w:shd w:val="clear" w:color="auto" w:fill="auto"/>
            <w:noWrap/>
            <w:vAlign w:val="bottom"/>
            <w:hideMark/>
          </w:tcPr>
          <w:p w14:paraId="13A2BBF7" w14:textId="77777777" w:rsidR="00C630FD" w:rsidRPr="00C630FD" w:rsidRDefault="00C630FD" w:rsidP="00C630FD">
            <w:pPr>
              <w:spacing w:after="0" w:line="240" w:lineRule="auto"/>
              <w:jc w:val="right"/>
              <w:rPr>
                <w:rFonts w:cs="Arial"/>
                <w:sz w:val="20"/>
              </w:rPr>
            </w:pPr>
            <w:r w:rsidRPr="00C630FD">
              <w:rPr>
                <w:rFonts w:cs="Arial"/>
                <w:sz w:val="20"/>
              </w:rPr>
              <w:t>955</w:t>
            </w:r>
          </w:p>
        </w:tc>
        <w:tc>
          <w:tcPr>
            <w:tcW w:w="0" w:type="auto"/>
            <w:tcBorders>
              <w:top w:val="nil"/>
              <w:left w:val="nil"/>
              <w:bottom w:val="nil"/>
              <w:right w:val="nil"/>
            </w:tcBorders>
            <w:shd w:val="clear" w:color="auto" w:fill="auto"/>
            <w:noWrap/>
            <w:vAlign w:val="bottom"/>
            <w:hideMark/>
          </w:tcPr>
          <w:p w14:paraId="6511C0BB" w14:textId="77777777" w:rsidR="00C630FD" w:rsidRPr="00C630FD" w:rsidRDefault="00C630FD" w:rsidP="00C630FD">
            <w:pPr>
              <w:spacing w:after="0" w:line="240" w:lineRule="auto"/>
              <w:jc w:val="right"/>
              <w:rPr>
                <w:rFonts w:cs="Arial"/>
                <w:sz w:val="20"/>
              </w:rPr>
            </w:pPr>
            <w:r w:rsidRPr="00C630FD">
              <w:rPr>
                <w:rFonts w:cs="Arial"/>
                <w:sz w:val="20"/>
              </w:rPr>
              <w:t>952</w:t>
            </w:r>
          </w:p>
        </w:tc>
        <w:tc>
          <w:tcPr>
            <w:tcW w:w="0" w:type="auto"/>
            <w:tcBorders>
              <w:top w:val="nil"/>
              <w:left w:val="nil"/>
              <w:bottom w:val="nil"/>
              <w:right w:val="nil"/>
            </w:tcBorders>
            <w:shd w:val="clear" w:color="auto" w:fill="auto"/>
            <w:noWrap/>
            <w:vAlign w:val="bottom"/>
            <w:hideMark/>
          </w:tcPr>
          <w:p w14:paraId="751BA324" w14:textId="77777777" w:rsidR="00C630FD" w:rsidRPr="00C630FD" w:rsidRDefault="00C630FD" w:rsidP="00C630FD">
            <w:pPr>
              <w:spacing w:after="0" w:line="240" w:lineRule="auto"/>
              <w:jc w:val="right"/>
              <w:rPr>
                <w:rFonts w:cs="Arial"/>
                <w:sz w:val="20"/>
              </w:rPr>
            </w:pPr>
            <w:r w:rsidRPr="00C630FD">
              <w:rPr>
                <w:rFonts w:cs="Arial"/>
                <w:sz w:val="20"/>
              </w:rPr>
              <w:t>934</w:t>
            </w:r>
          </w:p>
        </w:tc>
        <w:tc>
          <w:tcPr>
            <w:tcW w:w="0" w:type="auto"/>
            <w:tcBorders>
              <w:top w:val="nil"/>
              <w:left w:val="nil"/>
              <w:bottom w:val="nil"/>
              <w:right w:val="nil"/>
            </w:tcBorders>
            <w:shd w:val="clear" w:color="auto" w:fill="auto"/>
            <w:noWrap/>
            <w:vAlign w:val="bottom"/>
            <w:hideMark/>
          </w:tcPr>
          <w:p w14:paraId="404E9AC8" w14:textId="77777777" w:rsidR="00C630FD" w:rsidRPr="00C630FD" w:rsidRDefault="00C630FD" w:rsidP="00C630FD">
            <w:pPr>
              <w:spacing w:after="0" w:line="240" w:lineRule="auto"/>
              <w:jc w:val="right"/>
              <w:rPr>
                <w:rFonts w:cs="Arial"/>
                <w:sz w:val="20"/>
              </w:rPr>
            </w:pPr>
            <w:r w:rsidRPr="00C630FD">
              <w:rPr>
                <w:rFonts w:cs="Arial"/>
                <w:sz w:val="20"/>
              </w:rPr>
              <w:t>956</w:t>
            </w:r>
          </w:p>
        </w:tc>
        <w:tc>
          <w:tcPr>
            <w:tcW w:w="0" w:type="auto"/>
            <w:tcBorders>
              <w:top w:val="nil"/>
              <w:left w:val="nil"/>
              <w:bottom w:val="nil"/>
              <w:right w:val="nil"/>
            </w:tcBorders>
            <w:shd w:val="clear" w:color="auto" w:fill="auto"/>
            <w:noWrap/>
            <w:vAlign w:val="bottom"/>
            <w:hideMark/>
          </w:tcPr>
          <w:p w14:paraId="2294CA7E" w14:textId="77777777" w:rsidR="00C630FD" w:rsidRPr="00C630FD" w:rsidRDefault="00C630FD" w:rsidP="00C630FD">
            <w:pPr>
              <w:spacing w:after="0" w:line="240" w:lineRule="auto"/>
              <w:jc w:val="right"/>
              <w:rPr>
                <w:rFonts w:cs="Arial"/>
                <w:sz w:val="20"/>
              </w:rPr>
            </w:pPr>
            <w:r w:rsidRPr="00C630FD">
              <w:rPr>
                <w:rFonts w:cs="Arial"/>
                <w:sz w:val="20"/>
              </w:rPr>
              <w:t>992</w:t>
            </w:r>
          </w:p>
        </w:tc>
        <w:tc>
          <w:tcPr>
            <w:tcW w:w="0" w:type="auto"/>
            <w:tcBorders>
              <w:top w:val="nil"/>
              <w:left w:val="nil"/>
              <w:bottom w:val="nil"/>
              <w:right w:val="nil"/>
            </w:tcBorders>
            <w:shd w:val="clear" w:color="auto" w:fill="auto"/>
            <w:noWrap/>
            <w:vAlign w:val="bottom"/>
            <w:hideMark/>
          </w:tcPr>
          <w:p w14:paraId="41290376" w14:textId="77777777" w:rsidR="00C630FD" w:rsidRPr="00C630FD" w:rsidRDefault="00C630FD" w:rsidP="00C630FD">
            <w:pPr>
              <w:spacing w:after="0" w:line="240" w:lineRule="auto"/>
              <w:jc w:val="right"/>
              <w:rPr>
                <w:rFonts w:cs="Arial"/>
                <w:sz w:val="20"/>
              </w:rPr>
            </w:pPr>
            <w:r w:rsidRPr="00C630FD">
              <w:rPr>
                <w:rFonts w:cs="Arial"/>
                <w:sz w:val="20"/>
              </w:rPr>
              <w:t>963</w:t>
            </w:r>
          </w:p>
        </w:tc>
      </w:tr>
    </w:tbl>
    <w:p w14:paraId="1131605A" w14:textId="7FEC8A3E" w:rsidR="00142168" w:rsidRDefault="00142168" w:rsidP="0001612E">
      <w:pPr>
        <w:pStyle w:val="Header"/>
        <w:tabs>
          <w:tab w:val="clear" w:pos="4320"/>
          <w:tab w:val="clear" w:pos="8640"/>
        </w:tabs>
        <w:spacing w:line="288" w:lineRule="auto"/>
      </w:pPr>
    </w:p>
    <w:p w14:paraId="16304292" w14:textId="0EFE68A2" w:rsidR="002D4B42" w:rsidRPr="00C64973" w:rsidRDefault="00142168" w:rsidP="0001612E">
      <w:pPr>
        <w:pStyle w:val="Header"/>
        <w:tabs>
          <w:tab w:val="clear" w:pos="4320"/>
          <w:tab w:val="clear" w:pos="8640"/>
        </w:tabs>
        <w:spacing w:line="288" w:lineRule="auto"/>
      </w:pPr>
      <w:r>
        <w:t xml:space="preserve">Table 1 below </w:t>
      </w:r>
      <w:r w:rsidR="0001612E" w:rsidRPr="00C64973">
        <w:t>provides further details about VI professionals in Texas within the last 3 years. The term “individuals” includes both full- and part-time VI professionals. The full-time equivalent (FTE) data adjusts for the part-time VI professionals, including those who are dually certified.</w:t>
      </w:r>
    </w:p>
    <w:p w14:paraId="5476A13F" w14:textId="0A3ABAA4" w:rsidR="002D4B42" w:rsidRPr="00C64973" w:rsidRDefault="002D4B42" w:rsidP="002D4B42">
      <w:pPr>
        <w:pStyle w:val="Heading3"/>
      </w:pPr>
      <w:r w:rsidRPr="00C64973">
        <w:t xml:space="preserve">Table </w:t>
      </w:r>
      <w:r w:rsidRPr="00C64973">
        <w:rPr>
          <w:noProof/>
        </w:rPr>
        <w:t>1</w:t>
      </w:r>
      <w:r w:rsidRPr="00C64973">
        <w:t>:</w:t>
      </w:r>
      <w:r w:rsidRPr="00C64973">
        <w:rPr>
          <w:noProof/>
        </w:rPr>
        <w:t xml:space="preserve"> Total VI Professionals Statewide</w:t>
      </w:r>
    </w:p>
    <w:tbl>
      <w:tblPr>
        <w:tblW w:w="499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91"/>
        <w:gridCol w:w="1503"/>
        <w:gridCol w:w="1042"/>
        <w:gridCol w:w="1515"/>
        <w:gridCol w:w="948"/>
        <w:gridCol w:w="1515"/>
        <w:gridCol w:w="938"/>
        <w:gridCol w:w="10"/>
      </w:tblGrid>
      <w:tr w:rsidR="002D4B42" w:rsidRPr="00C64973" w14:paraId="355C2BE5" w14:textId="77777777" w:rsidTr="006F3AF6">
        <w:trPr>
          <w:gridAfter w:val="1"/>
          <w:wAfter w:w="5" w:type="pct"/>
          <w:cantSplit/>
          <w:tblHeader/>
        </w:trPr>
        <w:tc>
          <w:tcPr>
            <w:tcW w:w="1287" w:type="pct"/>
            <w:tcBorders>
              <w:top w:val="nil"/>
              <w:left w:val="nil"/>
              <w:bottom w:val="nil"/>
              <w:right w:val="nil"/>
            </w:tcBorders>
          </w:tcPr>
          <w:p w14:paraId="6614CF4B" w14:textId="77777777" w:rsidR="002D4B42" w:rsidRPr="00C64973" w:rsidRDefault="002D4B42" w:rsidP="00555C4B">
            <w:pPr>
              <w:spacing w:after="0"/>
            </w:pPr>
          </w:p>
        </w:tc>
        <w:tc>
          <w:tcPr>
            <w:tcW w:w="1265" w:type="pct"/>
            <w:gridSpan w:val="2"/>
            <w:tcBorders>
              <w:top w:val="nil"/>
              <w:left w:val="nil"/>
              <w:bottom w:val="nil"/>
              <w:right w:val="nil"/>
            </w:tcBorders>
          </w:tcPr>
          <w:p w14:paraId="47614F2E" w14:textId="32556559" w:rsidR="002D4B42" w:rsidRPr="00C64973" w:rsidRDefault="00DE3E2B" w:rsidP="00555C4B">
            <w:pPr>
              <w:keepNext/>
              <w:spacing w:after="0"/>
              <w:ind w:left="36"/>
              <w:jc w:val="center"/>
              <w:outlineLvl w:val="3"/>
              <w:rPr>
                <w:rFonts w:cs="Arial"/>
                <w:b/>
                <w:bCs/>
                <w:szCs w:val="24"/>
              </w:rPr>
            </w:pPr>
            <w:r w:rsidRPr="00C64973">
              <w:rPr>
                <w:rFonts w:cs="Arial"/>
                <w:b/>
                <w:bCs/>
                <w:szCs w:val="24"/>
              </w:rPr>
              <w:t>2018</w:t>
            </w:r>
          </w:p>
        </w:tc>
        <w:tc>
          <w:tcPr>
            <w:tcW w:w="1224" w:type="pct"/>
            <w:gridSpan w:val="2"/>
            <w:tcBorders>
              <w:top w:val="nil"/>
              <w:left w:val="nil"/>
              <w:bottom w:val="nil"/>
              <w:right w:val="nil"/>
            </w:tcBorders>
          </w:tcPr>
          <w:p w14:paraId="7B2776DE" w14:textId="7D457208" w:rsidR="002D4B42" w:rsidRPr="00C64973" w:rsidRDefault="00DE3E2B" w:rsidP="00555C4B">
            <w:pPr>
              <w:keepNext/>
              <w:spacing w:after="0"/>
              <w:ind w:left="36"/>
              <w:jc w:val="center"/>
              <w:outlineLvl w:val="3"/>
              <w:rPr>
                <w:rFonts w:cs="Arial"/>
                <w:b/>
                <w:bCs/>
                <w:szCs w:val="24"/>
              </w:rPr>
            </w:pPr>
            <w:r w:rsidRPr="00C64973">
              <w:rPr>
                <w:b/>
              </w:rPr>
              <w:t>2019</w:t>
            </w:r>
          </w:p>
        </w:tc>
        <w:tc>
          <w:tcPr>
            <w:tcW w:w="1219" w:type="pct"/>
            <w:gridSpan w:val="2"/>
            <w:tcBorders>
              <w:top w:val="nil"/>
              <w:left w:val="nil"/>
              <w:bottom w:val="nil"/>
              <w:right w:val="nil"/>
            </w:tcBorders>
          </w:tcPr>
          <w:p w14:paraId="340816B7" w14:textId="0A53DD85" w:rsidR="002D4B42" w:rsidRPr="00C64973" w:rsidRDefault="00DE3E2B" w:rsidP="00555C4B">
            <w:pPr>
              <w:keepNext/>
              <w:spacing w:after="0"/>
              <w:ind w:left="36"/>
              <w:jc w:val="center"/>
              <w:outlineLvl w:val="3"/>
              <w:rPr>
                <w:rFonts w:cs="Arial"/>
                <w:b/>
                <w:bCs/>
                <w:szCs w:val="24"/>
              </w:rPr>
            </w:pPr>
            <w:r w:rsidRPr="00C64973">
              <w:rPr>
                <w:rFonts w:cs="Arial"/>
                <w:b/>
                <w:bCs/>
                <w:szCs w:val="24"/>
              </w:rPr>
              <w:t>2020</w:t>
            </w:r>
          </w:p>
        </w:tc>
      </w:tr>
      <w:tr w:rsidR="002D4B42" w:rsidRPr="00C64973" w14:paraId="7EEC49E6" w14:textId="77777777" w:rsidTr="00555C4B">
        <w:tc>
          <w:tcPr>
            <w:tcW w:w="1287" w:type="pct"/>
            <w:vAlign w:val="center"/>
          </w:tcPr>
          <w:p w14:paraId="2C0CB99F" w14:textId="77777777" w:rsidR="002D4B42" w:rsidRPr="00C64973" w:rsidRDefault="002D4B42" w:rsidP="00555C4B">
            <w:pPr>
              <w:pStyle w:val="Header"/>
              <w:tabs>
                <w:tab w:val="clear" w:pos="4320"/>
                <w:tab w:val="clear" w:pos="8640"/>
              </w:tabs>
              <w:spacing w:before="60" w:after="0" w:line="288" w:lineRule="auto"/>
            </w:pPr>
          </w:p>
        </w:tc>
        <w:tc>
          <w:tcPr>
            <w:tcW w:w="747" w:type="pct"/>
            <w:vAlign w:val="bottom"/>
          </w:tcPr>
          <w:p w14:paraId="7F39E2E6" w14:textId="741A37A3" w:rsidR="002D4B42" w:rsidRPr="00C64973" w:rsidRDefault="002D4B42" w:rsidP="00555C4B">
            <w:pPr>
              <w:spacing w:after="0" w:line="360" w:lineRule="auto"/>
              <w:jc w:val="center"/>
              <w:rPr>
                <w:b/>
                <w:bCs/>
                <w:sz w:val="22"/>
                <w:szCs w:val="22"/>
              </w:rPr>
            </w:pPr>
            <w:r w:rsidRPr="00C64973">
              <w:rPr>
                <w:b/>
                <w:bCs/>
                <w:sz w:val="22"/>
                <w:szCs w:val="22"/>
              </w:rPr>
              <w:t>Individuals</w:t>
            </w:r>
          </w:p>
        </w:tc>
        <w:tc>
          <w:tcPr>
            <w:tcW w:w="518" w:type="pct"/>
            <w:shd w:val="clear" w:color="auto" w:fill="EAEAEA"/>
            <w:vAlign w:val="bottom"/>
          </w:tcPr>
          <w:p w14:paraId="6AC27F19" w14:textId="23741AF7" w:rsidR="002D4B42" w:rsidRPr="00C64973" w:rsidRDefault="002D4B42" w:rsidP="00555C4B">
            <w:pPr>
              <w:spacing w:after="0" w:line="360" w:lineRule="auto"/>
              <w:jc w:val="center"/>
              <w:rPr>
                <w:b/>
                <w:bCs/>
              </w:rPr>
            </w:pPr>
            <w:r w:rsidRPr="00C64973">
              <w:rPr>
                <w:b/>
                <w:bCs/>
              </w:rPr>
              <w:t>FTE</w:t>
            </w:r>
            <w:r w:rsidRPr="00C64973">
              <w:rPr>
                <w:b/>
                <w:bCs/>
                <w:position w:val="6"/>
                <w:sz w:val="16"/>
              </w:rPr>
              <w:t>2</w:t>
            </w:r>
          </w:p>
        </w:tc>
        <w:tc>
          <w:tcPr>
            <w:tcW w:w="753" w:type="pct"/>
            <w:vAlign w:val="bottom"/>
          </w:tcPr>
          <w:p w14:paraId="4292D15A" w14:textId="77777777" w:rsidR="002D4B42" w:rsidRPr="00C64973" w:rsidRDefault="002D4B42" w:rsidP="00555C4B">
            <w:pPr>
              <w:spacing w:after="0" w:line="360" w:lineRule="auto"/>
              <w:jc w:val="center"/>
              <w:rPr>
                <w:b/>
                <w:bCs/>
                <w:sz w:val="22"/>
                <w:szCs w:val="22"/>
              </w:rPr>
            </w:pPr>
            <w:r w:rsidRPr="00C64973">
              <w:rPr>
                <w:b/>
                <w:bCs/>
                <w:sz w:val="22"/>
                <w:szCs w:val="22"/>
              </w:rPr>
              <w:t>Individuals</w:t>
            </w:r>
          </w:p>
        </w:tc>
        <w:tc>
          <w:tcPr>
            <w:tcW w:w="471" w:type="pct"/>
            <w:shd w:val="clear" w:color="auto" w:fill="EAEAEA"/>
            <w:vAlign w:val="bottom"/>
          </w:tcPr>
          <w:p w14:paraId="1576396C" w14:textId="5DEE2F3E" w:rsidR="002D4B42" w:rsidRPr="00C64973" w:rsidRDefault="002D4B42" w:rsidP="00555C4B">
            <w:pPr>
              <w:spacing w:after="0" w:line="360" w:lineRule="auto"/>
              <w:jc w:val="center"/>
              <w:rPr>
                <w:b/>
                <w:bCs/>
              </w:rPr>
            </w:pPr>
            <w:r w:rsidRPr="00C64973">
              <w:rPr>
                <w:b/>
                <w:bCs/>
              </w:rPr>
              <w:t>FTE</w:t>
            </w:r>
            <w:r w:rsidRPr="00C64973">
              <w:rPr>
                <w:b/>
                <w:bCs/>
                <w:position w:val="6"/>
                <w:sz w:val="16"/>
              </w:rPr>
              <w:t>2</w:t>
            </w:r>
          </w:p>
        </w:tc>
        <w:tc>
          <w:tcPr>
            <w:tcW w:w="753" w:type="pct"/>
            <w:vAlign w:val="bottom"/>
          </w:tcPr>
          <w:p w14:paraId="7385A1E6" w14:textId="77777777" w:rsidR="002D4B42" w:rsidRPr="00C64973" w:rsidRDefault="002D4B42" w:rsidP="00555C4B">
            <w:pPr>
              <w:spacing w:after="0" w:line="360" w:lineRule="auto"/>
              <w:jc w:val="center"/>
              <w:rPr>
                <w:b/>
                <w:bCs/>
                <w:sz w:val="22"/>
                <w:szCs w:val="22"/>
              </w:rPr>
            </w:pPr>
            <w:r w:rsidRPr="00C64973">
              <w:rPr>
                <w:b/>
                <w:bCs/>
                <w:sz w:val="22"/>
                <w:szCs w:val="22"/>
              </w:rPr>
              <w:t>Individuals</w:t>
            </w:r>
          </w:p>
        </w:tc>
        <w:tc>
          <w:tcPr>
            <w:tcW w:w="471" w:type="pct"/>
            <w:gridSpan w:val="2"/>
            <w:shd w:val="clear" w:color="auto" w:fill="EAEAEA"/>
            <w:vAlign w:val="bottom"/>
          </w:tcPr>
          <w:p w14:paraId="68A0E133" w14:textId="77777777" w:rsidR="002D4B42" w:rsidRPr="00C64973" w:rsidRDefault="002D4B42" w:rsidP="00555C4B">
            <w:pPr>
              <w:spacing w:after="0" w:line="360" w:lineRule="auto"/>
              <w:jc w:val="center"/>
              <w:rPr>
                <w:b/>
                <w:bCs/>
              </w:rPr>
            </w:pPr>
            <w:r w:rsidRPr="00C64973">
              <w:rPr>
                <w:b/>
                <w:bCs/>
              </w:rPr>
              <w:t>FTE</w:t>
            </w:r>
            <w:r w:rsidRPr="00C64973">
              <w:rPr>
                <w:b/>
                <w:bCs/>
                <w:position w:val="6"/>
                <w:sz w:val="16"/>
              </w:rPr>
              <w:t>2</w:t>
            </w:r>
          </w:p>
        </w:tc>
      </w:tr>
      <w:tr w:rsidR="002D4B42" w:rsidRPr="00C64973" w14:paraId="0ECA6F32" w14:textId="77777777" w:rsidTr="00555C4B">
        <w:tc>
          <w:tcPr>
            <w:tcW w:w="1287" w:type="pct"/>
            <w:vAlign w:val="center"/>
          </w:tcPr>
          <w:p w14:paraId="49DBFDBB" w14:textId="77777777" w:rsidR="002D4B42" w:rsidRPr="00C64973" w:rsidRDefault="002D4B42" w:rsidP="00555C4B">
            <w:pPr>
              <w:pStyle w:val="Header"/>
              <w:tabs>
                <w:tab w:val="clear" w:pos="4320"/>
                <w:tab w:val="clear" w:pos="8640"/>
              </w:tabs>
              <w:spacing w:before="60" w:after="0" w:line="288" w:lineRule="auto"/>
              <w:rPr>
                <w:rFonts w:eastAsia="MS Mincho"/>
                <w:i/>
                <w:iCs/>
                <w:szCs w:val="24"/>
              </w:rPr>
            </w:pPr>
            <w:r w:rsidRPr="00C64973">
              <w:t>ESC leadership</w:t>
            </w:r>
            <w:r w:rsidRPr="00C64973">
              <w:rPr>
                <w:szCs w:val="24"/>
              </w:rPr>
              <w:t>¹</w:t>
            </w:r>
          </w:p>
        </w:tc>
        <w:tc>
          <w:tcPr>
            <w:tcW w:w="747" w:type="pct"/>
            <w:vAlign w:val="center"/>
          </w:tcPr>
          <w:p w14:paraId="17A1CE78" w14:textId="14CE87B5" w:rsidR="002D4B42" w:rsidRPr="00C64973" w:rsidRDefault="00DE3E2B" w:rsidP="00555C4B">
            <w:pPr>
              <w:spacing w:after="0" w:line="288" w:lineRule="auto"/>
              <w:jc w:val="center"/>
              <w:rPr>
                <w:rFonts w:cs="Calibri"/>
                <w:szCs w:val="24"/>
              </w:rPr>
            </w:pPr>
            <w:r w:rsidRPr="00C64973">
              <w:rPr>
                <w:rFonts w:cs="Calibri"/>
                <w:szCs w:val="24"/>
              </w:rPr>
              <w:t>24</w:t>
            </w:r>
          </w:p>
        </w:tc>
        <w:tc>
          <w:tcPr>
            <w:tcW w:w="518" w:type="pct"/>
            <w:shd w:val="clear" w:color="auto" w:fill="EAEAEA"/>
            <w:vAlign w:val="center"/>
          </w:tcPr>
          <w:p w14:paraId="357A9BC6" w14:textId="4140F0BE" w:rsidR="002D4B42" w:rsidRPr="00C64973" w:rsidRDefault="00FC062F" w:rsidP="00555C4B">
            <w:pPr>
              <w:spacing w:after="0" w:line="288" w:lineRule="auto"/>
              <w:jc w:val="center"/>
              <w:rPr>
                <w:rFonts w:cs="Calibri"/>
                <w:szCs w:val="24"/>
              </w:rPr>
            </w:pPr>
            <w:r w:rsidRPr="00C64973">
              <w:rPr>
                <w:rFonts w:cs="Calibri"/>
                <w:szCs w:val="24"/>
              </w:rPr>
              <w:t>19</w:t>
            </w:r>
            <w:r w:rsidR="00DE3E2B" w:rsidRPr="00C64973">
              <w:rPr>
                <w:rFonts w:cs="Calibri"/>
                <w:szCs w:val="24"/>
              </w:rPr>
              <w:t>.3</w:t>
            </w:r>
          </w:p>
        </w:tc>
        <w:tc>
          <w:tcPr>
            <w:tcW w:w="753" w:type="pct"/>
            <w:vAlign w:val="center"/>
          </w:tcPr>
          <w:p w14:paraId="3BB6CE07" w14:textId="50A95700" w:rsidR="002D4B42" w:rsidRPr="00C64973" w:rsidRDefault="00DE3E2B" w:rsidP="00555C4B">
            <w:pPr>
              <w:spacing w:after="0" w:line="288" w:lineRule="auto"/>
              <w:jc w:val="center"/>
              <w:rPr>
                <w:rFonts w:cs="Calibri"/>
                <w:szCs w:val="24"/>
              </w:rPr>
            </w:pPr>
            <w:r w:rsidRPr="00C64973">
              <w:rPr>
                <w:rFonts w:cs="Calibri"/>
                <w:szCs w:val="24"/>
              </w:rPr>
              <w:t>27</w:t>
            </w:r>
          </w:p>
        </w:tc>
        <w:tc>
          <w:tcPr>
            <w:tcW w:w="471" w:type="pct"/>
            <w:shd w:val="clear" w:color="auto" w:fill="EAEAEA"/>
            <w:vAlign w:val="center"/>
          </w:tcPr>
          <w:p w14:paraId="6F0AA6E0" w14:textId="4BC6AB2A" w:rsidR="002D4B42" w:rsidRPr="00C64973" w:rsidRDefault="00DE3E2B" w:rsidP="00555C4B">
            <w:pPr>
              <w:spacing w:after="0" w:line="288" w:lineRule="auto"/>
              <w:jc w:val="center"/>
              <w:rPr>
                <w:rFonts w:cs="Calibri"/>
                <w:szCs w:val="24"/>
              </w:rPr>
            </w:pPr>
            <w:r w:rsidRPr="00C64973">
              <w:rPr>
                <w:rFonts w:cs="Calibri"/>
                <w:szCs w:val="24"/>
              </w:rPr>
              <w:t>23.5</w:t>
            </w:r>
          </w:p>
        </w:tc>
        <w:tc>
          <w:tcPr>
            <w:tcW w:w="753" w:type="pct"/>
            <w:vAlign w:val="center"/>
          </w:tcPr>
          <w:p w14:paraId="06B0D265" w14:textId="1CC74DFE" w:rsidR="002D4B42" w:rsidRPr="00C64973" w:rsidRDefault="00DE3E2B" w:rsidP="00555C4B">
            <w:pPr>
              <w:spacing w:after="0" w:line="288" w:lineRule="auto"/>
              <w:jc w:val="center"/>
              <w:rPr>
                <w:rFonts w:cs="Calibri"/>
                <w:szCs w:val="24"/>
              </w:rPr>
            </w:pPr>
            <w:r w:rsidRPr="00C64973">
              <w:rPr>
                <w:rFonts w:cs="Calibri"/>
                <w:szCs w:val="24"/>
              </w:rPr>
              <w:t>25</w:t>
            </w:r>
          </w:p>
        </w:tc>
        <w:tc>
          <w:tcPr>
            <w:tcW w:w="471" w:type="pct"/>
            <w:gridSpan w:val="2"/>
            <w:shd w:val="clear" w:color="auto" w:fill="EAEAEA"/>
            <w:vAlign w:val="center"/>
          </w:tcPr>
          <w:p w14:paraId="48841946" w14:textId="2344CA07" w:rsidR="002D4B42" w:rsidRPr="00C64973" w:rsidRDefault="00DE3E2B" w:rsidP="00555C4B">
            <w:pPr>
              <w:spacing w:after="0" w:line="288" w:lineRule="auto"/>
              <w:jc w:val="center"/>
              <w:rPr>
                <w:rFonts w:cs="Calibri"/>
                <w:szCs w:val="24"/>
              </w:rPr>
            </w:pPr>
            <w:r w:rsidRPr="00C64973">
              <w:rPr>
                <w:rFonts w:cs="Calibri"/>
                <w:szCs w:val="24"/>
              </w:rPr>
              <w:t>21.1</w:t>
            </w:r>
          </w:p>
        </w:tc>
      </w:tr>
      <w:tr w:rsidR="002D4B42" w:rsidRPr="00C64973" w14:paraId="3BD715EF" w14:textId="77777777" w:rsidTr="00555C4B">
        <w:tc>
          <w:tcPr>
            <w:tcW w:w="1287" w:type="pct"/>
            <w:vAlign w:val="center"/>
          </w:tcPr>
          <w:p w14:paraId="07187FB3" w14:textId="77777777" w:rsidR="002D4B42" w:rsidRPr="00C64973" w:rsidRDefault="002D4B42" w:rsidP="00555C4B">
            <w:pPr>
              <w:pStyle w:val="Header"/>
              <w:tabs>
                <w:tab w:val="clear" w:pos="4320"/>
                <w:tab w:val="clear" w:pos="8640"/>
              </w:tabs>
              <w:spacing w:before="60" w:after="0" w:line="288" w:lineRule="auto"/>
              <w:rPr>
                <w:rFonts w:eastAsia="MS Mincho"/>
                <w:i/>
                <w:iCs/>
                <w:szCs w:val="24"/>
              </w:rPr>
            </w:pPr>
            <w:r w:rsidRPr="00C64973">
              <w:t>TSBVI statewide¹</w:t>
            </w:r>
          </w:p>
        </w:tc>
        <w:tc>
          <w:tcPr>
            <w:tcW w:w="747" w:type="pct"/>
            <w:vAlign w:val="center"/>
          </w:tcPr>
          <w:p w14:paraId="51E7A1C9" w14:textId="64D82DBA" w:rsidR="002D4B42" w:rsidRPr="00C64973" w:rsidRDefault="00FC062F" w:rsidP="00555C4B">
            <w:pPr>
              <w:spacing w:after="0" w:line="288" w:lineRule="auto"/>
              <w:jc w:val="center"/>
              <w:rPr>
                <w:rFonts w:cs="Calibri"/>
                <w:szCs w:val="24"/>
              </w:rPr>
            </w:pPr>
            <w:r w:rsidRPr="00C64973">
              <w:rPr>
                <w:rFonts w:cs="Calibri"/>
                <w:szCs w:val="24"/>
              </w:rPr>
              <w:t>29</w:t>
            </w:r>
          </w:p>
        </w:tc>
        <w:tc>
          <w:tcPr>
            <w:tcW w:w="518" w:type="pct"/>
            <w:shd w:val="clear" w:color="auto" w:fill="EAEAEA"/>
            <w:vAlign w:val="center"/>
          </w:tcPr>
          <w:p w14:paraId="3E3678DB" w14:textId="57C6B38F" w:rsidR="002D4B42" w:rsidRPr="00C64973" w:rsidRDefault="00DE3E2B" w:rsidP="00555C4B">
            <w:pPr>
              <w:spacing w:after="0" w:line="288" w:lineRule="auto"/>
              <w:jc w:val="center"/>
              <w:rPr>
                <w:rFonts w:cs="Calibri"/>
                <w:szCs w:val="24"/>
              </w:rPr>
            </w:pPr>
            <w:r w:rsidRPr="00C64973">
              <w:rPr>
                <w:rFonts w:cs="Calibri"/>
                <w:szCs w:val="24"/>
              </w:rPr>
              <w:t>24.8</w:t>
            </w:r>
          </w:p>
        </w:tc>
        <w:tc>
          <w:tcPr>
            <w:tcW w:w="753" w:type="pct"/>
            <w:vAlign w:val="center"/>
          </w:tcPr>
          <w:p w14:paraId="4AC7456C" w14:textId="3456493F" w:rsidR="002D4B42" w:rsidRPr="00C64973" w:rsidRDefault="00DE3E2B" w:rsidP="00555C4B">
            <w:pPr>
              <w:spacing w:after="0" w:line="288" w:lineRule="auto"/>
              <w:jc w:val="center"/>
              <w:rPr>
                <w:rFonts w:cs="Calibri"/>
                <w:szCs w:val="24"/>
              </w:rPr>
            </w:pPr>
            <w:r w:rsidRPr="00C64973">
              <w:rPr>
                <w:rFonts w:cs="Calibri"/>
                <w:szCs w:val="24"/>
              </w:rPr>
              <w:t>28</w:t>
            </w:r>
          </w:p>
        </w:tc>
        <w:tc>
          <w:tcPr>
            <w:tcW w:w="471" w:type="pct"/>
            <w:shd w:val="clear" w:color="auto" w:fill="EAEAEA"/>
            <w:vAlign w:val="center"/>
          </w:tcPr>
          <w:p w14:paraId="59BF0E3C" w14:textId="3738F08D" w:rsidR="002D4B42" w:rsidRPr="00C64973" w:rsidRDefault="00DE3E2B" w:rsidP="00555C4B">
            <w:pPr>
              <w:spacing w:after="0" w:line="288" w:lineRule="auto"/>
              <w:jc w:val="center"/>
              <w:rPr>
                <w:rFonts w:cs="Calibri"/>
                <w:szCs w:val="24"/>
              </w:rPr>
            </w:pPr>
            <w:r w:rsidRPr="00C64973">
              <w:rPr>
                <w:rFonts w:cs="Calibri"/>
                <w:szCs w:val="24"/>
              </w:rPr>
              <w:t>23</w:t>
            </w:r>
            <w:r w:rsidR="00FC062F" w:rsidRPr="00C64973">
              <w:rPr>
                <w:rFonts w:cs="Calibri"/>
                <w:szCs w:val="24"/>
              </w:rPr>
              <w:t>.8</w:t>
            </w:r>
          </w:p>
        </w:tc>
        <w:tc>
          <w:tcPr>
            <w:tcW w:w="753" w:type="pct"/>
            <w:vAlign w:val="center"/>
          </w:tcPr>
          <w:p w14:paraId="1191F103" w14:textId="674BE086" w:rsidR="002D4B42" w:rsidRPr="00C64973" w:rsidRDefault="00DE3E2B" w:rsidP="00555C4B">
            <w:pPr>
              <w:spacing w:after="0" w:line="288" w:lineRule="auto"/>
              <w:jc w:val="center"/>
              <w:rPr>
                <w:rFonts w:cs="Calibri"/>
                <w:szCs w:val="24"/>
              </w:rPr>
            </w:pPr>
            <w:r w:rsidRPr="00C64973">
              <w:rPr>
                <w:rFonts w:cs="Calibri"/>
                <w:szCs w:val="24"/>
              </w:rPr>
              <w:t>30</w:t>
            </w:r>
          </w:p>
        </w:tc>
        <w:tc>
          <w:tcPr>
            <w:tcW w:w="471" w:type="pct"/>
            <w:gridSpan w:val="2"/>
            <w:shd w:val="clear" w:color="auto" w:fill="EAEAEA"/>
            <w:vAlign w:val="center"/>
          </w:tcPr>
          <w:p w14:paraId="26D7B212" w14:textId="3861ADEA" w:rsidR="002D4B42" w:rsidRPr="00C64973" w:rsidRDefault="00DE3E2B" w:rsidP="00555C4B">
            <w:pPr>
              <w:spacing w:after="0" w:line="288" w:lineRule="auto"/>
              <w:jc w:val="center"/>
              <w:rPr>
                <w:rFonts w:cs="Calibri"/>
                <w:szCs w:val="24"/>
              </w:rPr>
            </w:pPr>
            <w:r w:rsidRPr="00C64973">
              <w:rPr>
                <w:rFonts w:cs="Calibri"/>
                <w:szCs w:val="24"/>
              </w:rPr>
              <w:t>25.8</w:t>
            </w:r>
          </w:p>
        </w:tc>
      </w:tr>
      <w:tr w:rsidR="002D4B42" w:rsidRPr="00C64973" w14:paraId="06276ABC" w14:textId="77777777" w:rsidTr="00555C4B">
        <w:tc>
          <w:tcPr>
            <w:tcW w:w="1287" w:type="pct"/>
            <w:vAlign w:val="center"/>
          </w:tcPr>
          <w:p w14:paraId="457150E9" w14:textId="77777777" w:rsidR="002D4B42" w:rsidRPr="00C64973" w:rsidRDefault="002D4B42" w:rsidP="00555C4B">
            <w:pPr>
              <w:spacing w:after="0" w:line="288" w:lineRule="auto"/>
              <w:rPr>
                <w:rFonts w:eastAsia="MS Mincho"/>
                <w:i/>
                <w:iCs/>
                <w:szCs w:val="24"/>
              </w:rPr>
            </w:pPr>
            <w:r w:rsidRPr="00C64973">
              <w:t>VI and O&amp;M service providers (adjusted for dually certified professionals)</w:t>
            </w:r>
          </w:p>
        </w:tc>
        <w:tc>
          <w:tcPr>
            <w:tcW w:w="747" w:type="pct"/>
            <w:vAlign w:val="center"/>
          </w:tcPr>
          <w:p w14:paraId="2739C161" w14:textId="7159072F" w:rsidR="002D4B42" w:rsidRPr="00C64973" w:rsidRDefault="00DE3E2B" w:rsidP="00555C4B">
            <w:pPr>
              <w:spacing w:after="0" w:line="288" w:lineRule="auto"/>
              <w:jc w:val="center"/>
              <w:rPr>
                <w:rFonts w:cs="Calibri"/>
                <w:szCs w:val="24"/>
              </w:rPr>
            </w:pPr>
            <w:r w:rsidRPr="00C64973">
              <w:rPr>
                <w:rFonts w:cs="Calibri"/>
                <w:szCs w:val="24"/>
              </w:rPr>
              <w:t>903</w:t>
            </w:r>
          </w:p>
        </w:tc>
        <w:tc>
          <w:tcPr>
            <w:tcW w:w="518" w:type="pct"/>
            <w:shd w:val="clear" w:color="auto" w:fill="EAEAEA"/>
            <w:vAlign w:val="center"/>
          </w:tcPr>
          <w:p w14:paraId="6DBC6BB2" w14:textId="674FEAEF" w:rsidR="002D4B42" w:rsidRPr="00C64973" w:rsidRDefault="00DE3E2B" w:rsidP="00555C4B">
            <w:pPr>
              <w:spacing w:after="0" w:line="288" w:lineRule="auto"/>
              <w:jc w:val="center"/>
              <w:rPr>
                <w:rFonts w:cs="Calibri"/>
                <w:szCs w:val="24"/>
              </w:rPr>
            </w:pPr>
            <w:r w:rsidRPr="00C64973">
              <w:rPr>
                <w:rFonts w:cs="Calibri"/>
                <w:szCs w:val="24"/>
              </w:rPr>
              <w:t>834</w:t>
            </w:r>
            <w:r w:rsidR="00FC062F" w:rsidRPr="00C64973">
              <w:rPr>
                <w:rFonts w:cs="Calibri"/>
                <w:szCs w:val="24"/>
              </w:rPr>
              <w:t>.5</w:t>
            </w:r>
          </w:p>
        </w:tc>
        <w:tc>
          <w:tcPr>
            <w:tcW w:w="753" w:type="pct"/>
            <w:vAlign w:val="center"/>
          </w:tcPr>
          <w:p w14:paraId="707C741D" w14:textId="097388DF" w:rsidR="002D4B42" w:rsidRPr="00C64973" w:rsidRDefault="00DE3E2B" w:rsidP="00555C4B">
            <w:pPr>
              <w:spacing w:after="0" w:line="288" w:lineRule="auto"/>
              <w:jc w:val="center"/>
              <w:rPr>
                <w:rFonts w:cs="Arial"/>
                <w:szCs w:val="24"/>
              </w:rPr>
            </w:pPr>
            <w:r w:rsidRPr="00C64973">
              <w:rPr>
                <w:rFonts w:cs="Arial"/>
                <w:szCs w:val="24"/>
              </w:rPr>
              <w:t>937</w:t>
            </w:r>
          </w:p>
        </w:tc>
        <w:tc>
          <w:tcPr>
            <w:tcW w:w="471" w:type="pct"/>
            <w:shd w:val="clear" w:color="auto" w:fill="EAEAEA"/>
            <w:vAlign w:val="center"/>
          </w:tcPr>
          <w:p w14:paraId="717F5E50" w14:textId="02C9653E" w:rsidR="002D4B42" w:rsidRPr="00C64973" w:rsidRDefault="00DE3E2B" w:rsidP="00555C4B">
            <w:pPr>
              <w:spacing w:after="0" w:line="288" w:lineRule="auto"/>
              <w:jc w:val="center"/>
              <w:rPr>
                <w:rFonts w:cs="Arial"/>
                <w:szCs w:val="24"/>
              </w:rPr>
            </w:pPr>
            <w:r w:rsidRPr="00C64973">
              <w:rPr>
                <w:rFonts w:cs="Arial"/>
                <w:szCs w:val="24"/>
              </w:rPr>
              <w:t>851</w:t>
            </w:r>
          </w:p>
        </w:tc>
        <w:tc>
          <w:tcPr>
            <w:tcW w:w="753" w:type="pct"/>
            <w:vAlign w:val="center"/>
          </w:tcPr>
          <w:p w14:paraId="3E5224EA" w14:textId="6972442D" w:rsidR="002D4B42" w:rsidRPr="00C64973" w:rsidRDefault="0048714B" w:rsidP="00555C4B">
            <w:pPr>
              <w:spacing w:after="0" w:line="288" w:lineRule="auto"/>
              <w:jc w:val="center"/>
              <w:rPr>
                <w:rFonts w:cs="Arial"/>
                <w:szCs w:val="24"/>
              </w:rPr>
            </w:pPr>
            <w:r w:rsidRPr="00C64973">
              <w:rPr>
                <w:rFonts w:cs="Arial"/>
                <w:szCs w:val="24"/>
              </w:rPr>
              <w:t>908</w:t>
            </w:r>
          </w:p>
        </w:tc>
        <w:tc>
          <w:tcPr>
            <w:tcW w:w="471" w:type="pct"/>
            <w:gridSpan w:val="2"/>
            <w:shd w:val="clear" w:color="auto" w:fill="EAEAEA"/>
            <w:vAlign w:val="center"/>
          </w:tcPr>
          <w:p w14:paraId="705EF69A" w14:textId="579CF241" w:rsidR="002D4B42" w:rsidRPr="00C64973" w:rsidRDefault="0048714B" w:rsidP="00555C4B">
            <w:pPr>
              <w:spacing w:after="0" w:line="288" w:lineRule="auto"/>
              <w:jc w:val="center"/>
              <w:rPr>
                <w:rFonts w:cs="Arial"/>
                <w:szCs w:val="24"/>
              </w:rPr>
            </w:pPr>
            <w:r w:rsidRPr="00C64973">
              <w:rPr>
                <w:rFonts w:cs="Arial"/>
                <w:szCs w:val="24"/>
              </w:rPr>
              <w:t>840</w:t>
            </w:r>
          </w:p>
        </w:tc>
      </w:tr>
      <w:tr w:rsidR="002D4B42" w:rsidRPr="00C64973" w14:paraId="7272C056" w14:textId="77777777" w:rsidTr="00834AA0">
        <w:tc>
          <w:tcPr>
            <w:tcW w:w="1287" w:type="pct"/>
            <w:vAlign w:val="center"/>
          </w:tcPr>
          <w:p w14:paraId="31365A48" w14:textId="77777777" w:rsidR="002D4B42" w:rsidRPr="00C64973" w:rsidRDefault="002D4B42" w:rsidP="00555C4B">
            <w:pPr>
              <w:spacing w:after="0" w:line="288" w:lineRule="auto"/>
              <w:rPr>
                <w:rFonts w:eastAsia="MS Mincho"/>
                <w:b/>
                <w:bCs/>
                <w:i/>
                <w:iCs/>
                <w:szCs w:val="24"/>
              </w:rPr>
            </w:pPr>
            <w:r w:rsidRPr="00C64973">
              <w:rPr>
                <w:b/>
                <w:bCs/>
              </w:rPr>
              <w:t>Total VI professionals</w:t>
            </w:r>
          </w:p>
        </w:tc>
        <w:tc>
          <w:tcPr>
            <w:tcW w:w="747" w:type="pct"/>
            <w:vAlign w:val="center"/>
          </w:tcPr>
          <w:p w14:paraId="0D32478A" w14:textId="1DB71FBF" w:rsidR="002D4B42" w:rsidRPr="00C64973" w:rsidRDefault="00DE3E2B" w:rsidP="00555C4B">
            <w:pPr>
              <w:spacing w:after="0" w:line="288" w:lineRule="auto"/>
              <w:jc w:val="center"/>
              <w:rPr>
                <w:rFonts w:cs="Calibri"/>
                <w:b/>
                <w:bCs/>
                <w:szCs w:val="24"/>
              </w:rPr>
            </w:pPr>
            <w:r w:rsidRPr="00C64973">
              <w:rPr>
                <w:rFonts w:cs="Calibri"/>
                <w:b/>
                <w:bCs/>
                <w:szCs w:val="24"/>
              </w:rPr>
              <w:t>956</w:t>
            </w:r>
          </w:p>
        </w:tc>
        <w:tc>
          <w:tcPr>
            <w:tcW w:w="518" w:type="pct"/>
            <w:shd w:val="clear" w:color="auto" w:fill="auto"/>
            <w:vAlign w:val="center"/>
          </w:tcPr>
          <w:p w14:paraId="5CEF2244" w14:textId="19DAD132" w:rsidR="002D4B42" w:rsidRPr="00C64973" w:rsidRDefault="00DE3E2B" w:rsidP="00555C4B">
            <w:pPr>
              <w:spacing w:after="0" w:line="288" w:lineRule="auto"/>
              <w:jc w:val="center"/>
              <w:rPr>
                <w:rFonts w:eastAsia="MS Mincho" w:cs="Calibri"/>
                <w:b/>
                <w:bCs/>
                <w:iCs/>
                <w:szCs w:val="24"/>
              </w:rPr>
            </w:pPr>
            <w:r w:rsidRPr="00C64973">
              <w:rPr>
                <w:rFonts w:cs="Calibri"/>
                <w:b/>
                <w:bCs/>
                <w:szCs w:val="24"/>
              </w:rPr>
              <w:t>878.6</w:t>
            </w:r>
          </w:p>
        </w:tc>
        <w:tc>
          <w:tcPr>
            <w:tcW w:w="753" w:type="pct"/>
            <w:vAlign w:val="center"/>
          </w:tcPr>
          <w:p w14:paraId="5D028030" w14:textId="36D606B1" w:rsidR="002D4B42" w:rsidRPr="00C64973" w:rsidRDefault="00DE3E2B" w:rsidP="00555C4B">
            <w:pPr>
              <w:spacing w:after="0" w:line="288" w:lineRule="auto"/>
              <w:jc w:val="center"/>
              <w:rPr>
                <w:rFonts w:cs="Calibri"/>
                <w:b/>
                <w:bCs/>
                <w:szCs w:val="24"/>
              </w:rPr>
            </w:pPr>
            <w:r w:rsidRPr="00C64973">
              <w:rPr>
                <w:rFonts w:cs="Calibri"/>
                <w:b/>
                <w:bCs/>
                <w:szCs w:val="24"/>
              </w:rPr>
              <w:t>992</w:t>
            </w:r>
          </w:p>
        </w:tc>
        <w:tc>
          <w:tcPr>
            <w:tcW w:w="471" w:type="pct"/>
            <w:shd w:val="clear" w:color="auto" w:fill="EAEAEA"/>
            <w:vAlign w:val="center"/>
          </w:tcPr>
          <w:p w14:paraId="43FCAA72" w14:textId="2E806D72" w:rsidR="002D4B42" w:rsidRPr="00C64973" w:rsidRDefault="00DE3E2B" w:rsidP="00555C4B">
            <w:pPr>
              <w:spacing w:after="0" w:line="288" w:lineRule="auto"/>
              <w:jc w:val="center"/>
              <w:rPr>
                <w:rFonts w:eastAsia="MS Mincho" w:cs="Calibri"/>
                <w:b/>
                <w:bCs/>
                <w:iCs/>
                <w:szCs w:val="24"/>
              </w:rPr>
            </w:pPr>
            <w:r w:rsidRPr="00C64973">
              <w:rPr>
                <w:rFonts w:eastAsia="MS Mincho" w:cs="Calibri"/>
                <w:b/>
                <w:bCs/>
                <w:iCs/>
                <w:szCs w:val="24"/>
              </w:rPr>
              <w:t>898.3</w:t>
            </w:r>
          </w:p>
        </w:tc>
        <w:tc>
          <w:tcPr>
            <w:tcW w:w="753" w:type="pct"/>
            <w:vAlign w:val="center"/>
          </w:tcPr>
          <w:p w14:paraId="4F23BEAA" w14:textId="4781C1D6" w:rsidR="002D4B42" w:rsidRPr="00C64973" w:rsidRDefault="0048714B" w:rsidP="00555C4B">
            <w:pPr>
              <w:spacing w:after="0" w:line="288" w:lineRule="auto"/>
              <w:jc w:val="center"/>
              <w:rPr>
                <w:rFonts w:cs="Calibri"/>
                <w:b/>
                <w:bCs/>
                <w:szCs w:val="24"/>
              </w:rPr>
            </w:pPr>
            <w:r w:rsidRPr="00C64973">
              <w:rPr>
                <w:rFonts w:cs="Calibri"/>
                <w:b/>
                <w:bCs/>
                <w:szCs w:val="24"/>
              </w:rPr>
              <w:t>963</w:t>
            </w:r>
          </w:p>
        </w:tc>
        <w:tc>
          <w:tcPr>
            <w:tcW w:w="471" w:type="pct"/>
            <w:gridSpan w:val="2"/>
            <w:shd w:val="clear" w:color="auto" w:fill="EAEAEA"/>
            <w:vAlign w:val="center"/>
          </w:tcPr>
          <w:p w14:paraId="29566523" w14:textId="1B8CA99E" w:rsidR="002D4B42" w:rsidRPr="00C64973" w:rsidRDefault="0048714B" w:rsidP="00555C4B">
            <w:pPr>
              <w:spacing w:after="0" w:line="288" w:lineRule="auto"/>
              <w:jc w:val="center"/>
              <w:rPr>
                <w:rFonts w:eastAsia="MS Mincho" w:cs="Calibri"/>
                <w:b/>
                <w:bCs/>
                <w:iCs/>
                <w:szCs w:val="24"/>
              </w:rPr>
            </w:pPr>
            <w:r w:rsidRPr="00C64973">
              <w:rPr>
                <w:rFonts w:eastAsia="MS Mincho" w:cs="Calibri"/>
                <w:b/>
                <w:bCs/>
                <w:iCs/>
                <w:szCs w:val="24"/>
              </w:rPr>
              <w:t>886</w:t>
            </w:r>
            <w:r w:rsidR="006A12CB">
              <w:rPr>
                <w:rFonts w:eastAsia="MS Mincho" w:cs="Calibri"/>
                <w:b/>
                <w:bCs/>
                <w:iCs/>
                <w:szCs w:val="24"/>
              </w:rPr>
              <w:t>.9</w:t>
            </w:r>
          </w:p>
        </w:tc>
      </w:tr>
    </w:tbl>
    <w:p w14:paraId="37498E2A" w14:textId="5485ABE5" w:rsidR="002D4B42" w:rsidRPr="00C64973" w:rsidRDefault="002D4B42" w:rsidP="002D4B42">
      <w:pPr>
        <w:tabs>
          <w:tab w:val="left" w:pos="720"/>
        </w:tabs>
        <w:spacing w:after="0" w:line="240" w:lineRule="auto"/>
        <w:ind w:left="720" w:hanging="360"/>
        <w:rPr>
          <w:rFonts w:cs="Arial"/>
          <w:sz w:val="18"/>
          <w:szCs w:val="18"/>
        </w:rPr>
      </w:pPr>
      <w:r w:rsidRPr="00C64973">
        <w:rPr>
          <w:rFonts w:cs="Arial"/>
          <w:szCs w:val="24"/>
        </w:rPr>
        <w:t xml:space="preserve">¹ </w:t>
      </w:r>
      <w:r w:rsidRPr="00C64973">
        <w:rPr>
          <w:rFonts w:cs="Arial"/>
          <w:szCs w:val="24"/>
        </w:rPr>
        <w:tab/>
      </w:r>
      <w:r w:rsidRPr="00C64973">
        <w:rPr>
          <w:rFonts w:cs="Arial"/>
          <w:sz w:val="18"/>
          <w:szCs w:val="18"/>
        </w:rPr>
        <w:t>TSBVI statewide consulting staff (Outreach and Short-Term Programs) and ESC consulting VI staff provide leadership/technical assistance statewide or within their organization. Educators at TSBVI or at ESCs who provide direct educational service to students with visual impairments are counted as "VI and O&amp;M direct-service providers."</w:t>
      </w:r>
    </w:p>
    <w:p w14:paraId="58394974" w14:textId="62ABF976" w:rsidR="00BE4A02" w:rsidRPr="00C64973" w:rsidRDefault="008F502F" w:rsidP="00B116B7">
      <w:pPr>
        <w:numPr>
          <w:ilvl w:val="0"/>
          <w:numId w:val="7"/>
        </w:numPr>
        <w:tabs>
          <w:tab w:val="left" w:pos="720"/>
        </w:tabs>
        <w:spacing w:after="0" w:line="240" w:lineRule="auto"/>
        <w:rPr>
          <w:rFonts w:cs="Arial"/>
          <w:sz w:val="18"/>
          <w:szCs w:val="18"/>
        </w:rPr>
      </w:pPr>
      <w:r w:rsidRPr="00C64973">
        <w:rPr>
          <w:rFonts w:cs="Arial"/>
          <w:sz w:val="18"/>
          <w:szCs w:val="18"/>
        </w:rPr>
        <w:t>FTE = (part-</w:t>
      </w:r>
      <w:r w:rsidR="000B5F93" w:rsidRPr="00C64973">
        <w:rPr>
          <w:rFonts w:cs="Arial"/>
          <w:sz w:val="18"/>
          <w:szCs w:val="18"/>
        </w:rPr>
        <w:t>time x .5) + full-</w:t>
      </w:r>
      <w:r w:rsidR="002D4B42" w:rsidRPr="00C64973">
        <w:rPr>
          <w:rFonts w:cs="Arial"/>
          <w:sz w:val="18"/>
          <w:szCs w:val="18"/>
        </w:rPr>
        <w:t>time for all charts</w:t>
      </w:r>
      <w:bookmarkStart w:id="28" w:name="_Toc284342458"/>
      <w:bookmarkStart w:id="29" w:name="_Toc347126881"/>
      <w:bookmarkStart w:id="30" w:name="_Toc347127150"/>
      <w:bookmarkStart w:id="31" w:name="_Toc408835446"/>
    </w:p>
    <w:p w14:paraId="0A696860" w14:textId="5657F08E" w:rsidR="00A21D36" w:rsidRPr="00C64973" w:rsidRDefault="00A21D36" w:rsidP="00B116B7">
      <w:pPr>
        <w:rPr>
          <w:b/>
          <w:color w:val="1A3866"/>
        </w:rPr>
      </w:pPr>
    </w:p>
    <w:p w14:paraId="09BA0DA7" w14:textId="7E1F1B5B" w:rsidR="00FA6B73" w:rsidRPr="00C64973" w:rsidRDefault="005B2584" w:rsidP="00B116B7">
      <w:pPr>
        <w:rPr>
          <w:b/>
          <w:color w:val="1A3866"/>
        </w:rPr>
      </w:pPr>
      <w:r w:rsidRPr="00C64973">
        <w:rPr>
          <w:b/>
          <w:color w:val="1A3866"/>
        </w:rPr>
        <w:t>Direct-service providers</w:t>
      </w:r>
      <w:bookmarkEnd w:id="28"/>
      <w:bookmarkEnd w:id="29"/>
      <w:bookmarkEnd w:id="30"/>
      <w:bookmarkEnd w:id="31"/>
    </w:p>
    <w:p w14:paraId="00B52CC0" w14:textId="2D2F6CAF" w:rsidR="00A82D15" w:rsidRPr="00C64973" w:rsidRDefault="00A82D15" w:rsidP="00A82D15">
      <w:pPr>
        <w:rPr>
          <w:b/>
          <w:i/>
          <w:color w:val="1A3866"/>
        </w:rPr>
      </w:pPr>
      <w:r w:rsidRPr="00C64973">
        <w:rPr>
          <w:b/>
          <w:i/>
        </w:rPr>
        <w:t xml:space="preserve">The total number of </w:t>
      </w:r>
      <w:r w:rsidR="00A65305" w:rsidRPr="00C64973">
        <w:rPr>
          <w:b/>
          <w:i/>
        </w:rPr>
        <w:t>direct-s</w:t>
      </w:r>
      <w:r w:rsidR="00142168">
        <w:rPr>
          <w:b/>
          <w:i/>
        </w:rPr>
        <w:t>ervice providers in 2020 was 908 individuals or 840</w:t>
      </w:r>
      <w:r w:rsidRPr="00C64973">
        <w:rPr>
          <w:b/>
          <w:i/>
        </w:rPr>
        <w:t xml:space="preserve"> FTEs</w:t>
      </w:r>
      <w:r w:rsidR="00991FCB" w:rsidRPr="00C64973">
        <w:rPr>
          <w:b/>
          <w:i/>
        </w:rPr>
        <w:t xml:space="preserve"> (adjusted for dual</w:t>
      </w:r>
      <w:r w:rsidR="006A12CB">
        <w:rPr>
          <w:b/>
          <w:i/>
        </w:rPr>
        <w:t>ly</w:t>
      </w:r>
      <w:r w:rsidR="00991FCB" w:rsidRPr="00C64973">
        <w:rPr>
          <w:b/>
          <w:i/>
        </w:rPr>
        <w:t xml:space="preserve"> certified professionals)</w:t>
      </w:r>
      <w:r w:rsidRPr="00C64973">
        <w:rPr>
          <w:b/>
          <w:i/>
        </w:rPr>
        <w:t xml:space="preserve">. </w:t>
      </w:r>
      <w:r w:rsidR="00760264">
        <w:rPr>
          <w:b/>
          <w:i/>
        </w:rPr>
        <w:t>There are currently 669 TVIs and 315</w:t>
      </w:r>
      <w:r w:rsidR="009A48BA" w:rsidRPr="00C64973">
        <w:rPr>
          <w:b/>
          <w:i/>
        </w:rPr>
        <w:t xml:space="preserve"> COMS providing services to students with visual impairments</w:t>
      </w:r>
      <w:r w:rsidR="00A65305" w:rsidRPr="00C64973">
        <w:rPr>
          <w:b/>
          <w:i/>
        </w:rPr>
        <w:t xml:space="preserve"> across the state.</w:t>
      </w:r>
    </w:p>
    <w:p w14:paraId="10D6B9D1" w14:textId="04A749B5" w:rsidR="005B2584" w:rsidRPr="00C64973" w:rsidRDefault="005B2584" w:rsidP="005B2584">
      <w:r w:rsidRPr="00C64973">
        <w:t>Below are data rega</w:t>
      </w:r>
      <w:r w:rsidR="008F502F" w:rsidRPr="00C64973">
        <w:t>rding full and part-</w:t>
      </w:r>
      <w:r w:rsidR="00E3183A" w:rsidRPr="00C64973">
        <w:t>time direct-</w:t>
      </w:r>
      <w:r w:rsidRPr="00C64973">
        <w:t xml:space="preserve">service providers. The term “direct-service providers” includes teachers </w:t>
      </w:r>
      <w:r w:rsidR="008D4199" w:rsidRPr="00C64973">
        <w:t xml:space="preserve">of students with </w:t>
      </w:r>
      <w:r w:rsidRPr="00C64973">
        <w:t>visual impairments (</w:t>
      </w:r>
      <w:r w:rsidR="00723F4D" w:rsidRPr="00C64973">
        <w:t>TVI</w:t>
      </w:r>
      <w:r w:rsidRPr="00C64973">
        <w:t>s), certified orientation and mobility specialists (</w:t>
      </w:r>
      <w:r w:rsidR="00D574E5">
        <w:t>COMS</w:t>
      </w:r>
      <w:r w:rsidRPr="00C64973">
        <w:t>), and dually</w:t>
      </w:r>
      <w:r w:rsidR="00A25AF7" w:rsidRPr="00C64973">
        <w:t xml:space="preserve"> </w:t>
      </w:r>
      <w:r w:rsidRPr="00C64973">
        <w:t>certified personnel who work with s</w:t>
      </w:r>
      <w:r w:rsidR="006539AD" w:rsidRPr="00C64973">
        <w:t>tudents on a regular basis, and</w:t>
      </w:r>
      <w:r w:rsidRPr="00C64973">
        <w:t>/or are the teacher-of-record for issues related to visual impairments.</w:t>
      </w:r>
      <w:bookmarkStart w:id="32" w:name="_Toc378778987"/>
      <w:bookmarkStart w:id="33" w:name="_Toc378921236"/>
      <w:bookmarkStart w:id="34" w:name="_Toc379264721"/>
      <w:r w:rsidRPr="00C64973">
        <w:t xml:space="preserve"> </w:t>
      </w:r>
      <w:bookmarkEnd w:id="32"/>
      <w:bookmarkEnd w:id="33"/>
      <w:bookmarkEnd w:id="34"/>
      <w:r w:rsidRPr="00C64973">
        <w:t>This</w:t>
      </w:r>
      <w:r w:rsidR="008D4199" w:rsidRPr="00C64973">
        <w:t xml:space="preserve"> category</w:t>
      </w:r>
      <w:r w:rsidRPr="00C64973">
        <w:t xml:space="preserve"> does not include those who provide vision-related leadership, technical assistance, o</w:t>
      </w:r>
      <w:r w:rsidR="006539AD" w:rsidRPr="00C64973">
        <w:t>r statewide services at ESCs</w:t>
      </w:r>
      <w:r w:rsidR="00850E43" w:rsidRPr="00C64973">
        <w:t xml:space="preserve"> or TSBVI</w:t>
      </w:r>
      <w:r w:rsidRPr="00C64973">
        <w:t xml:space="preserve"> t</w:t>
      </w:r>
      <w:r w:rsidR="004A2929" w:rsidRPr="00C64973">
        <w:t>hrough the Short-Term Programs and</w:t>
      </w:r>
      <w:r w:rsidRPr="00C64973">
        <w:t xml:space="preserve"> Outreach Programs. </w:t>
      </w:r>
    </w:p>
    <w:p w14:paraId="18A351EF" w14:textId="4A5BA48C" w:rsidR="005B2584" w:rsidRPr="00C64973" w:rsidRDefault="005B2584" w:rsidP="005B2584">
      <w:r w:rsidRPr="00C64973">
        <w:t xml:space="preserve">This survey captures information about the number of </w:t>
      </w:r>
      <w:r w:rsidRPr="00C64973">
        <w:rPr>
          <w:u w:val="single"/>
        </w:rPr>
        <w:t>individuals</w:t>
      </w:r>
      <w:r w:rsidRPr="00C64973">
        <w:t xml:space="preserve"> working with students with visual impairments in the state of Texas in either a full- or part-time capacity. </w:t>
      </w:r>
      <w:r w:rsidRPr="00C64973">
        <w:rPr>
          <w:u w:val="single"/>
        </w:rPr>
        <w:t>It does not gather information on the number of districts that employ full- and/or part-time VI professionals</w:t>
      </w:r>
      <w:r w:rsidRPr="00C64973">
        <w:t xml:space="preserve">. Full- and part-time status is broadly defined. </w:t>
      </w:r>
      <w:r w:rsidR="00A71C73" w:rsidRPr="00C64973">
        <w:t xml:space="preserve">The reference to “full-time” and “part-time” refers to the total employment of the VI professional, not to how long a specific district employs a VI professional. </w:t>
      </w:r>
      <w:r w:rsidRPr="00C64973">
        <w:t>Individuals</w:t>
      </w:r>
      <w:r w:rsidR="008F502F" w:rsidRPr="00C64973">
        <w:t xml:space="preserve"> who work part-</w:t>
      </w:r>
      <w:r w:rsidR="005830E0" w:rsidRPr="00C64973">
        <w:t xml:space="preserve">time </w:t>
      </w:r>
      <w:r w:rsidRPr="00C64973">
        <w:t xml:space="preserve">in multiple districts are considered “full-time VI professionals.” As a result, the number of “full-time” VI professionals described may vary from the number of districts or co-ops that employ </w:t>
      </w:r>
      <w:r w:rsidR="00723F4D" w:rsidRPr="00C64973">
        <w:t>TVI</w:t>
      </w:r>
      <w:r w:rsidRPr="00C64973">
        <w:t>s on a full-time basis.</w:t>
      </w:r>
    </w:p>
    <w:p w14:paraId="7A8B9AFC" w14:textId="08ED6B3C" w:rsidR="006950E1" w:rsidRPr="00C64973" w:rsidRDefault="005B2584" w:rsidP="00084D70">
      <w:r w:rsidRPr="00C64973">
        <w:t xml:space="preserve">For the purposes of this survey, professionals who are certified </w:t>
      </w:r>
      <w:r w:rsidRPr="00C64973">
        <w:rPr>
          <w:i/>
        </w:rPr>
        <w:t>and</w:t>
      </w:r>
      <w:r w:rsidRPr="00C64973">
        <w:t xml:space="preserve"> employed in both visual impairments and orientation and mobility (dually certified) are </w:t>
      </w:r>
      <w:r w:rsidR="00132CCF" w:rsidRPr="00C64973">
        <w:t xml:space="preserve">counted as a part-time </w:t>
      </w:r>
      <w:r w:rsidR="00723F4D" w:rsidRPr="00C64973">
        <w:t>TVI</w:t>
      </w:r>
      <w:r w:rsidR="00132CCF" w:rsidRPr="00C64973">
        <w:t xml:space="preserve"> and a part-time COMS</w:t>
      </w:r>
      <w:r w:rsidRPr="00C64973">
        <w:t xml:space="preserve">. These specialists are embedded in </w:t>
      </w:r>
      <w:r w:rsidR="006A12CB">
        <w:t xml:space="preserve">both </w:t>
      </w:r>
      <w:r w:rsidR="00723F4D" w:rsidRPr="00C64973">
        <w:t>TVI</w:t>
      </w:r>
      <w:r w:rsidR="006A12CB">
        <w:t xml:space="preserve"> and </w:t>
      </w:r>
      <w:r w:rsidRPr="00C64973">
        <w:t>COMS data. Specific information on dually</w:t>
      </w:r>
      <w:r w:rsidR="006A12CB">
        <w:t xml:space="preserve"> </w:t>
      </w:r>
      <w:r w:rsidRPr="00C64973">
        <w:t>certified VI professionals is listed in Table 4</w:t>
      </w:r>
      <w:r w:rsidRPr="00C64973">
        <w:rPr>
          <w:szCs w:val="24"/>
        </w:rPr>
        <w:t>.</w:t>
      </w:r>
      <w:r w:rsidRPr="00C64973">
        <w:t xml:space="preserve"> Information about the number of combined direct-service providers has been adjusted for dually certified professionals.</w:t>
      </w:r>
    </w:p>
    <w:p w14:paraId="597D3747" w14:textId="4C2430C7" w:rsidR="005B2584" w:rsidRPr="00C64973" w:rsidRDefault="005B2584" w:rsidP="005B2584">
      <w:pPr>
        <w:pStyle w:val="Heading3"/>
      </w:pPr>
      <w:r w:rsidRPr="00C64973">
        <w:t xml:space="preserve">Table </w:t>
      </w:r>
      <w:r w:rsidRPr="00C64973">
        <w:rPr>
          <w:noProof/>
        </w:rPr>
        <w:t>2</w:t>
      </w:r>
      <w:r w:rsidRPr="00C64973">
        <w:t xml:space="preserve">: Direct-Service Providers: Teachers </w:t>
      </w:r>
      <w:r w:rsidR="008D4199" w:rsidRPr="00C64973">
        <w:t xml:space="preserve">of Students with </w:t>
      </w:r>
      <w:r w:rsidRPr="00C64973">
        <w:t>Visual Impairments (</w:t>
      </w:r>
      <w:r w:rsidR="00723F4D" w:rsidRPr="00C64973">
        <w:t>TVI</w:t>
      </w:r>
      <w:r w:rsidRPr="00C64973">
        <w:t xml:space="preserve">s) </w:t>
      </w:r>
    </w:p>
    <w:tbl>
      <w:tblPr>
        <w:tblW w:w="5117"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80"/>
        <w:gridCol w:w="1622"/>
        <w:gridCol w:w="957"/>
        <w:gridCol w:w="1620"/>
        <w:gridCol w:w="951"/>
        <w:gridCol w:w="1603"/>
        <w:gridCol w:w="883"/>
      </w:tblGrid>
      <w:tr w:rsidR="005B2584" w:rsidRPr="00C64973" w14:paraId="4EBA43B8" w14:textId="77777777" w:rsidTr="006F3AF6">
        <w:trPr>
          <w:cantSplit/>
          <w:trHeight w:val="542"/>
          <w:tblHeader/>
        </w:trPr>
        <w:tc>
          <w:tcPr>
            <w:tcW w:w="1299" w:type="pct"/>
            <w:tcBorders>
              <w:top w:val="nil"/>
              <w:left w:val="nil"/>
              <w:bottom w:val="nil"/>
              <w:right w:val="nil"/>
            </w:tcBorders>
          </w:tcPr>
          <w:p w14:paraId="33BE97A7" w14:textId="5968168C" w:rsidR="005B2584" w:rsidRPr="00C64973" w:rsidRDefault="005B2584" w:rsidP="00E51125">
            <w:pPr>
              <w:pStyle w:val="Heading4"/>
              <w:spacing w:after="0"/>
            </w:pPr>
          </w:p>
        </w:tc>
        <w:tc>
          <w:tcPr>
            <w:tcW w:w="1250" w:type="pct"/>
            <w:gridSpan w:val="2"/>
            <w:tcBorders>
              <w:top w:val="nil"/>
              <w:left w:val="nil"/>
              <w:right w:val="nil"/>
            </w:tcBorders>
            <w:vAlign w:val="bottom"/>
          </w:tcPr>
          <w:p w14:paraId="31CCBAFC" w14:textId="5039AED4" w:rsidR="005B2584" w:rsidRPr="00C64973" w:rsidRDefault="00A65305" w:rsidP="00386A6A">
            <w:pPr>
              <w:jc w:val="center"/>
              <w:rPr>
                <w:b/>
              </w:rPr>
            </w:pPr>
            <w:r w:rsidRPr="00C64973">
              <w:rPr>
                <w:b/>
              </w:rPr>
              <w:t>2018</w:t>
            </w:r>
          </w:p>
        </w:tc>
        <w:tc>
          <w:tcPr>
            <w:tcW w:w="1246" w:type="pct"/>
            <w:gridSpan w:val="2"/>
            <w:tcBorders>
              <w:top w:val="nil"/>
              <w:left w:val="nil"/>
              <w:right w:val="nil"/>
            </w:tcBorders>
            <w:vAlign w:val="bottom"/>
          </w:tcPr>
          <w:p w14:paraId="162E1CCE" w14:textId="3CCE9D8F" w:rsidR="005B2584" w:rsidRPr="00C64973" w:rsidRDefault="00A65305" w:rsidP="00386A6A">
            <w:pPr>
              <w:jc w:val="center"/>
              <w:rPr>
                <w:b/>
              </w:rPr>
            </w:pPr>
            <w:r w:rsidRPr="00C64973">
              <w:rPr>
                <w:b/>
              </w:rPr>
              <w:t>2019</w:t>
            </w:r>
          </w:p>
        </w:tc>
        <w:tc>
          <w:tcPr>
            <w:tcW w:w="1205" w:type="pct"/>
            <w:gridSpan w:val="2"/>
            <w:tcBorders>
              <w:top w:val="nil"/>
              <w:left w:val="nil"/>
              <w:right w:val="nil"/>
            </w:tcBorders>
            <w:vAlign w:val="bottom"/>
          </w:tcPr>
          <w:p w14:paraId="0213DAB7" w14:textId="53702601" w:rsidR="005B2584" w:rsidRPr="00C64973" w:rsidRDefault="00A65305" w:rsidP="00386A6A">
            <w:pPr>
              <w:jc w:val="center"/>
              <w:rPr>
                <w:b/>
              </w:rPr>
            </w:pPr>
            <w:r w:rsidRPr="00C64973">
              <w:rPr>
                <w:b/>
              </w:rPr>
              <w:t>2020</w:t>
            </w:r>
          </w:p>
        </w:tc>
      </w:tr>
      <w:tr w:rsidR="005B2584" w:rsidRPr="00C64973" w14:paraId="547BE956" w14:textId="77777777" w:rsidTr="00D15837">
        <w:trPr>
          <w:trHeight w:val="402"/>
        </w:trPr>
        <w:tc>
          <w:tcPr>
            <w:tcW w:w="1299" w:type="pct"/>
            <w:tcBorders>
              <w:top w:val="nil"/>
              <w:left w:val="nil"/>
            </w:tcBorders>
          </w:tcPr>
          <w:p w14:paraId="5AC4CE40" w14:textId="25F8C36B" w:rsidR="005B2584" w:rsidRPr="00C64973" w:rsidRDefault="005B2584" w:rsidP="00E51125">
            <w:pPr>
              <w:spacing w:after="0" w:line="288" w:lineRule="auto"/>
            </w:pPr>
          </w:p>
        </w:tc>
        <w:tc>
          <w:tcPr>
            <w:tcW w:w="786" w:type="pct"/>
          </w:tcPr>
          <w:p w14:paraId="4B294704" w14:textId="77777777" w:rsidR="005B2584" w:rsidRPr="00C64973" w:rsidRDefault="005B2584" w:rsidP="00E51125">
            <w:pPr>
              <w:spacing w:after="0" w:line="288" w:lineRule="auto"/>
              <w:jc w:val="center"/>
              <w:rPr>
                <w:b/>
                <w:bCs/>
              </w:rPr>
            </w:pPr>
            <w:r w:rsidRPr="00C64973">
              <w:rPr>
                <w:b/>
                <w:bCs/>
              </w:rPr>
              <w:t>Individuals</w:t>
            </w:r>
          </w:p>
        </w:tc>
        <w:tc>
          <w:tcPr>
            <w:tcW w:w="464" w:type="pct"/>
            <w:shd w:val="clear" w:color="auto" w:fill="EAEAEA"/>
          </w:tcPr>
          <w:p w14:paraId="09962F29" w14:textId="77777777"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c>
          <w:tcPr>
            <w:tcW w:w="785" w:type="pct"/>
          </w:tcPr>
          <w:p w14:paraId="619BEF0A" w14:textId="78428095" w:rsidR="005B2584" w:rsidRPr="00C64973" w:rsidRDefault="005B2584" w:rsidP="00E51125">
            <w:pPr>
              <w:spacing w:after="0" w:line="288" w:lineRule="auto"/>
              <w:jc w:val="center"/>
              <w:rPr>
                <w:b/>
                <w:bCs/>
              </w:rPr>
            </w:pPr>
            <w:r w:rsidRPr="00C64973">
              <w:rPr>
                <w:b/>
                <w:bCs/>
              </w:rPr>
              <w:t>Individuals</w:t>
            </w:r>
          </w:p>
        </w:tc>
        <w:tc>
          <w:tcPr>
            <w:tcW w:w="461" w:type="pct"/>
            <w:shd w:val="clear" w:color="auto" w:fill="EAEAEA"/>
          </w:tcPr>
          <w:p w14:paraId="362E46D9" w14:textId="77777777"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c>
          <w:tcPr>
            <w:tcW w:w="777" w:type="pct"/>
          </w:tcPr>
          <w:p w14:paraId="2860C21C" w14:textId="77777777" w:rsidR="005B2584" w:rsidRPr="00C64973" w:rsidRDefault="005B2584" w:rsidP="00E51125">
            <w:pPr>
              <w:spacing w:after="0" w:line="288" w:lineRule="auto"/>
              <w:jc w:val="center"/>
              <w:rPr>
                <w:b/>
                <w:bCs/>
              </w:rPr>
            </w:pPr>
            <w:r w:rsidRPr="00C64973">
              <w:rPr>
                <w:b/>
                <w:bCs/>
              </w:rPr>
              <w:t>Individuals</w:t>
            </w:r>
          </w:p>
        </w:tc>
        <w:tc>
          <w:tcPr>
            <w:tcW w:w="428" w:type="pct"/>
            <w:shd w:val="clear" w:color="auto" w:fill="EAEAEA"/>
          </w:tcPr>
          <w:p w14:paraId="23036665" w14:textId="77777777"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r>
      <w:tr w:rsidR="005B2584" w:rsidRPr="00C64973" w14:paraId="381752E3" w14:textId="77777777" w:rsidTr="00D15837">
        <w:trPr>
          <w:trHeight w:val="384"/>
        </w:trPr>
        <w:tc>
          <w:tcPr>
            <w:tcW w:w="1299" w:type="pct"/>
          </w:tcPr>
          <w:p w14:paraId="30B36E5F" w14:textId="149BB9B3" w:rsidR="005B2584" w:rsidRPr="00C64973" w:rsidRDefault="005B2584" w:rsidP="00E51125">
            <w:pPr>
              <w:spacing w:after="0" w:line="288" w:lineRule="auto"/>
              <w:rPr>
                <w:rFonts w:eastAsia="MS Mincho"/>
                <w:b/>
                <w:i/>
                <w:iCs/>
                <w:szCs w:val="24"/>
              </w:rPr>
            </w:pPr>
            <w:r w:rsidRPr="00C64973">
              <w:rPr>
                <w:b/>
              </w:rPr>
              <w:t xml:space="preserve">Full-time </w:t>
            </w:r>
            <w:r w:rsidR="00723F4D" w:rsidRPr="00C64973">
              <w:rPr>
                <w:b/>
              </w:rPr>
              <w:t>TVI</w:t>
            </w:r>
            <w:r w:rsidRPr="00C64973">
              <w:rPr>
                <w:b/>
              </w:rPr>
              <w:t>s</w:t>
            </w:r>
          </w:p>
        </w:tc>
        <w:tc>
          <w:tcPr>
            <w:tcW w:w="786" w:type="pct"/>
          </w:tcPr>
          <w:p w14:paraId="6E9DFC17" w14:textId="2FB2B479" w:rsidR="005B2584" w:rsidRPr="00C64973" w:rsidRDefault="00A65305" w:rsidP="00E51125">
            <w:pPr>
              <w:spacing w:after="0" w:line="288" w:lineRule="auto"/>
              <w:jc w:val="center"/>
            </w:pPr>
            <w:r w:rsidRPr="00C64973">
              <w:t>527</w:t>
            </w:r>
          </w:p>
        </w:tc>
        <w:tc>
          <w:tcPr>
            <w:tcW w:w="464" w:type="pct"/>
            <w:shd w:val="clear" w:color="auto" w:fill="EAEAEA"/>
          </w:tcPr>
          <w:p w14:paraId="3DDCE66E" w14:textId="2317D1F7" w:rsidR="005B2584" w:rsidRPr="00C64973" w:rsidRDefault="005B2584" w:rsidP="00E51125">
            <w:pPr>
              <w:spacing w:after="0" w:line="288" w:lineRule="auto"/>
              <w:jc w:val="center"/>
            </w:pPr>
          </w:p>
        </w:tc>
        <w:tc>
          <w:tcPr>
            <w:tcW w:w="785" w:type="pct"/>
          </w:tcPr>
          <w:p w14:paraId="5E80EF56" w14:textId="566A075D" w:rsidR="005B2584" w:rsidRPr="00C64973" w:rsidRDefault="00A65305" w:rsidP="00E51125">
            <w:pPr>
              <w:spacing w:after="0" w:line="288" w:lineRule="auto"/>
              <w:jc w:val="center"/>
            </w:pPr>
            <w:r w:rsidRPr="00C64973">
              <w:t>526</w:t>
            </w:r>
          </w:p>
        </w:tc>
        <w:tc>
          <w:tcPr>
            <w:tcW w:w="461" w:type="pct"/>
            <w:shd w:val="clear" w:color="auto" w:fill="EAEAEA"/>
          </w:tcPr>
          <w:p w14:paraId="136AAD3B" w14:textId="4C05BFF8" w:rsidR="005B2584" w:rsidRPr="00C64973" w:rsidRDefault="005B2584" w:rsidP="00E51125">
            <w:pPr>
              <w:spacing w:after="0" w:line="288" w:lineRule="auto"/>
              <w:jc w:val="center"/>
            </w:pPr>
          </w:p>
        </w:tc>
        <w:tc>
          <w:tcPr>
            <w:tcW w:w="777" w:type="pct"/>
          </w:tcPr>
          <w:p w14:paraId="7E8474FD" w14:textId="5541452D" w:rsidR="005B2584" w:rsidRPr="00C64973" w:rsidRDefault="0048714B" w:rsidP="00E51125">
            <w:pPr>
              <w:spacing w:after="0" w:line="288" w:lineRule="auto"/>
              <w:jc w:val="center"/>
            </w:pPr>
            <w:r w:rsidRPr="00C64973">
              <w:t>511</w:t>
            </w:r>
          </w:p>
        </w:tc>
        <w:tc>
          <w:tcPr>
            <w:tcW w:w="428" w:type="pct"/>
            <w:shd w:val="clear" w:color="auto" w:fill="EAEAEA"/>
          </w:tcPr>
          <w:p w14:paraId="3A8915D5" w14:textId="77777777" w:rsidR="005B2584" w:rsidRPr="00C64973" w:rsidRDefault="005B2584" w:rsidP="00E51125">
            <w:pPr>
              <w:spacing w:after="0" w:line="288" w:lineRule="auto"/>
              <w:jc w:val="center"/>
            </w:pPr>
          </w:p>
        </w:tc>
      </w:tr>
      <w:tr w:rsidR="005B2584" w:rsidRPr="00C64973" w14:paraId="7F3FF8B5" w14:textId="77777777" w:rsidTr="0061025E">
        <w:trPr>
          <w:trHeight w:val="55"/>
        </w:trPr>
        <w:tc>
          <w:tcPr>
            <w:tcW w:w="1299" w:type="pct"/>
          </w:tcPr>
          <w:p w14:paraId="71D3A561" w14:textId="026CFEB9" w:rsidR="005B2584" w:rsidRPr="00C64973" w:rsidRDefault="005B2584" w:rsidP="00E51125">
            <w:pPr>
              <w:spacing w:after="0" w:line="288" w:lineRule="auto"/>
              <w:rPr>
                <w:rFonts w:eastAsia="MS Mincho"/>
                <w:b/>
                <w:i/>
                <w:iCs/>
                <w:szCs w:val="24"/>
              </w:rPr>
            </w:pPr>
            <w:r w:rsidRPr="00C64973">
              <w:rPr>
                <w:b/>
              </w:rPr>
              <w:t xml:space="preserve">Part-time </w:t>
            </w:r>
            <w:r w:rsidR="00723F4D" w:rsidRPr="00C64973">
              <w:rPr>
                <w:b/>
              </w:rPr>
              <w:t>TVI</w:t>
            </w:r>
            <w:r w:rsidRPr="00C64973">
              <w:rPr>
                <w:b/>
              </w:rPr>
              <w:t>s</w:t>
            </w:r>
          </w:p>
        </w:tc>
        <w:tc>
          <w:tcPr>
            <w:tcW w:w="786" w:type="pct"/>
          </w:tcPr>
          <w:p w14:paraId="5F7C6F0D" w14:textId="1CAECED8" w:rsidR="005B2584" w:rsidRPr="00C64973" w:rsidRDefault="00A65305" w:rsidP="00E51125">
            <w:pPr>
              <w:spacing w:after="0" w:line="288" w:lineRule="auto"/>
              <w:jc w:val="center"/>
            </w:pPr>
            <w:r w:rsidRPr="00C64973">
              <w:t>154</w:t>
            </w:r>
          </w:p>
        </w:tc>
        <w:tc>
          <w:tcPr>
            <w:tcW w:w="464" w:type="pct"/>
            <w:shd w:val="clear" w:color="auto" w:fill="EAEAEA"/>
          </w:tcPr>
          <w:p w14:paraId="43BD2675" w14:textId="53FC269D" w:rsidR="005B2584" w:rsidRPr="00C64973" w:rsidRDefault="005B2584" w:rsidP="00E51125">
            <w:pPr>
              <w:spacing w:after="0" w:line="288" w:lineRule="auto"/>
              <w:jc w:val="center"/>
            </w:pPr>
          </w:p>
        </w:tc>
        <w:tc>
          <w:tcPr>
            <w:tcW w:w="785" w:type="pct"/>
          </w:tcPr>
          <w:p w14:paraId="4A791D16" w14:textId="70140DFF" w:rsidR="005B2584" w:rsidRPr="00C64973" w:rsidRDefault="00A65305" w:rsidP="00E51125">
            <w:pPr>
              <w:spacing w:after="0" w:line="288" w:lineRule="auto"/>
              <w:jc w:val="center"/>
            </w:pPr>
            <w:r w:rsidRPr="00C64973">
              <w:t>168</w:t>
            </w:r>
          </w:p>
        </w:tc>
        <w:tc>
          <w:tcPr>
            <w:tcW w:w="461" w:type="pct"/>
            <w:shd w:val="clear" w:color="auto" w:fill="EAEAEA"/>
          </w:tcPr>
          <w:p w14:paraId="235DB2E1" w14:textId="5C867CC2" w:rsidR="005B2584" w:rsidRPr="00C64973" w:rsidRDefault="005B2584" w:rsidP="00E51125">
            <w:pPr>
              <w:spacing w:after="0" w:line="288" w:lineRule="auto"/>
              <w:jc w:val="center"/>
            </w:pPr>
          </w:p>
        </w:tc>
        <w:tc>
          <w:tcPr>
            <w:tcW w:w="777" w:type="pct"/>
          </w:tcPr>
          <w:p w14:paraId="5CA42C11" w14:textId="3248DED1" w:rsidR="005B2584" w:rsidRPr="00C64973" w:rsidRDefault="0048714B" w:rsidP="00E51125">
            <w:pPr>
              <w:spacing w:after="0" w:line="288" w:lineRule="auto"/>
              <w:jc w:val="center"/>
            </w:pPr>
            <w:r w:rsidRPr="00C64973">
              <w:t>158</w:t>
            </w:r>
          </w:p>
        </w:tc>
        <w:tc>
          <w:tcPr>
            <w:tcW w:w="428" w:type="pct"/>
            <w:shd w:val="clear" w:color="auto" w:fill="EAEAEA"/>
          </w:tcPr>
          <w:p w14:paraId="213B6936" w14:textId="6585A4C7" w:rsidR="005B2584" w:rsidRPr="00C64973" w:rsidRDefault="005B2584" w:rsidP="00E51125">
            <w:pPr>
              <w:spacing w:after="0" w:line="288" w:lineRule="auto"/>
              <w:jc w:val="center"/>
            </w:pPr>
          </w:p>
        </w:tc>
      </w:tr>
      <w:tr w:rsidR="005B2584" w:rsidRPr="00C64973" w14:paraId="34FFDE4B" w14:textId="77777777" w:rsidTr="00D15837">
        <w:trPr>
          <w:trHeight w:val="384"/>
        </w:trPr>
        <w:tc>
          <w:tcPr>
            <w:tcW w:w="1299" w:type="pct"/>
          </w:tcPr>
          <w:p w14:paraId="54352B84" w14:textId="77777777" w:rsidR="005B2584" w:rsidRPr="00C64973" w:rsidRDefault="005B2584" w:rsidP="00E51125">
            <w:pPr>
              <w:spacing w:after="0" w:line="288" w:lineRule="auto"/>
              <w:rPr>
                <w:rFonts w:eastAsia="MS Mincho"/>
                <w:b/>
                <w:bCs/>
                <w:i/>
                <w:iCs/>
                <w:szCs w:val="24"/>
              </w:rPr>
            </w:pPr>
            <w:r w:rsidRPr="00C64973">
              <w:rPr>
                <w:b/>
                <w:bCs/>
              </w:rPr>
              <w:t xml:space="preserve">Total VI staff </w:t>
            </w:r>
          </w:p>
        </w:tc>
        <w:tc>
          <w:tcPr>
            <w:tcW w:w="786" w:type="pct"/>
          </w:tcPr>
          <w:p w14:paraId="16D35939" w14:textId="6F481F68" w:rsidR="005B2584" w:rsidRPr="00C64973" w:rsidRDefault="0061025E" w:rsidP="00E51125">
            <w:pPr>
              <w:spacing w:after="0" w:line="288" w:lineRule="auto"/>
              <w:jc w:val="center"/>
              <w:rPr>
                <w:b/>
                <w:bCs/>
              </w:rPr>
            </w:pPr>
            <w:r w:rsidRPr="00C64973">
              <w:rPr>
                <w:b/>
                <w:bCs/>
              </w:rPr>
              <w:t>681</w:t>
            </w:r>
          </w:p>
        </w:tc>
        <w:tc>
          <w:tcPr>
            <w:tcW w:w="464" w:type="pct"/>
            <w:shd w:val="clear" w:color="auto" w:fill="EAEAEA"/>
          </w:tcPr>
          <w:p w14:paraId="45129342" w14:textId="4E0DC454" w:rsidR="005B2584" w:rsidRPr="00C64973" w:rsidRDefault="00A65305" w:rsidP="00E51125">
            <w:pPr>
              <w:spacing w:after="0" w:line="288" w:lineRule="auto"/>
              <w:jc w:val="center"/>
              <w:rPr>
                <w:b/>
                <w:bCs/>
              </w:rPr>
            </w:pPr>
            <w:r w:rsidRPr="00C64973">
              <w:rPr>
                <w:b/>
                <w:bCs/>
              </w:rPr>
              <w:t>604</w:t>
            </w:r>
          </w:p>
        </w:tc>
        <w:tc>
          <w:tcPr>
            <w:tcW w:w="785" w:type="pct"/>
          </w:tcPr>
          <w:p w14:paraId="74A8239D" w14:textId="288E2205" w:rsidR="005B2584" w:rsidRPr="00C64973" w:rsidRDefault="00A65305" w:rsidP="00E51125">
            <w:pPr>
              <w:spacing w:after="0" w:line="288" w:lineRule="auto"/>
              <w:jc w:val="center"/>
              <w:rPr>
                <w:b/>
                <w:bCs/>
              </w:rPr>
            </w:pPr>
            <w:r w:rsidRPr="00C64973">
              <w:rPr>
                <w:b/>
                <w:bCs/>
              </w:rPr>
              <w:t>694</w:t>
            </w:r>
          </w:p>
        </w:tc>
        <w:tc>
          <w:tcPr>
            <w:tcW w:w="461" w:type="pct"/>
            <w:shd w:val="clear" w:color="auto" w:fill="EAEAEA"/>
          </w:tcPr>
          <w:p w14:paraId="716B39AA" w14:textId="33564744" w:rsidR="005B2584" w:rsidRPr="00C64973" w:rsidRDefault="00A65305" w:rsidP="00E51125">
            <w:pPr>
              <w:spacing w:after="0" w:line="288" w:lineRule="auto"/>
              <w:jc w:val="center"/>
              <w:rPr>
                <w:b/>
                <w:bCs/>
              </w:rPr>
            </w:pPr>
            <w:r w:rsidRPr="00C64973">
              <w:rPr>
                <w:b/>
                <w:bCs/>
              </w:rPr>
              <w:t>610</w:t>
            </w:r>
          </w:p>
        </w:tc>
        <w:tc>
          <w:tcPr>
            <w:tcW w:w="777" w:type="pct"/>
          </w:tcPr>
          <w:p w14:paraId="399023B9" w14:textId="33614713" w:rsidR="005B2584" w:rsidRPr="00C64973" w:rsidRDefault="0048714B" w:rsidP="00E51125">
            <w:pPr>
              <w:spacing w:after="0" w:line="288" w:lineRule="auto"/>
              <w:jc w:val="center"/>
              <w:rPr>
                <w:b/>
                <w:bCs/>
              </w:rPr>
            </w:pPr>
            <w:r w:rsidRPr="00C64973">
              <w:rPr>
                <w:b/>
                <w:bCs/>
              </w:rPr>
              <w:t>669</w:t>
            </w:r>
          </w:p>
        </w:tc>
        <w:tc>
          <w:tcPr>
            <w:tcW w:w="428" w:type="pct"/>
            <w:shd w:val="clear" w:color="auto" w:fill="EAEAEA"/>
          </w:tcPr>
          <w:p w14:paraId="69B73883" w14:textId="7CF378EE" w:rsidR="005B2584" w:rsidRPr="00C64973" w:rsidRDefault="0048714B" w:rsidP="00E51125">
            <w:pPr>
              <w:spacing w:after="0" w:line="288" w:lineRule="auto"/>
              <w:jc w:val="center"/>
              <w:rPr>
                <w:b/>
                <w:bCs/>
              </w:rPr>
            </w:pPr>
            <w:r w:rsidRPr="00C64973">
              <w:rPr>
                <w:b/>
                <w:bCs/>
              </w:rPr>
              <w:t>590</w:t>
            </w:r>
          </w:p>
        </w:tc>
      </w:tr>
    </w:tbl>
    <w:p w14:paraId="3BC2C0C7" w14:textId="55DA596D" w:rsidR="00A21D36" w:rsidRPr="00C64973" w:rsidRDefault="008F502F" w:rsidP="00BE4A02">
      <w:pPr>
        <w:pStyle w:val="ListParagraph"/>
        <w:numPr>
          <w:ilvl w:val="0"/>
          <w:numId w:val="36"/>
        </w:numPr>
        <w:tabs>
          <w:tab w:val="left" w:pos="720"/>
        </w:tabs>
        <w:rPr>
          <w:szCs w:val="24"/>
        </w:rPr>
      </w:pPr>
      <w:r w:rsidRPr="00C64973">
        <w:rPr>
          <w:szCs w:val="24"/>
        </w:rPr>
        <w:t>FTE = part-</w:t>
      </w:r>
      <w:r w:rsidR="000B5F93" w:rsidRPr="00C64973">
        <w:rPr>
          <w:szCs w:val="24"/>
        </w:rPr>
        <w:t>time x .5 + full-</w:t>
      </w:r>
      <w:r w:rsidR="005B2584" w:rsidRPr="00C64973">
        <w:rPr>
          <w:szCs w:val="24"/>
        </w:rPr>
        <w:t>time for all charts</w:t>
      </w:r>
    </w:p>
    <w:p w14:paraId="06DD4E52" w14:textId="26B635B3" w:rsidR="009C05D0" w:rsidRDefault="00760264" w:rsidP="00BE4A02">
      <w:r>
        <w:t xml:space="preserve">As the table above indicates, the </w:t>
      </w:r>
      <w:r w:rsidR="00BE4A02" w:rsidRPr="00C64973">
        <w:t xml:space="preserve">total number of </w:t>
      </w:r>
      <w:r w:rsidR="00BE4A02" w:rsidRPr="00C64973">
        <w:rPr>
          <w:i/>
        </w:rPr>
        <w:t xml:space="preserve">individuals </w:t>
      </w:r>
      <w:r w:rsidR="008F502F" w:rsidRPr="00C64973">
        <w:t>(full and part-</w:t>
      </w:r>
      <w:r w:rsidR="00CB7BDE" w:rsidRPr="00C64973">
        <w:t xml:space="preserve">time) who work as a TVI </w:t>
      </w:r>
      <w:r>
        <w:t>decreased by 25</w:t>
      </w:r>
      <w:r w:rsidR="00A65305" w:rsidRPr="00C64973">
        <w:t xml:space="preserve"> </w:t>
      </w:r>
      <w:r>
        <w:t>this year and by 20</w:t>
      </w:r>
      <w:r w:rsidR="00CB7BDE" w:rsidRPr="00C64973">
        <w:t xml:space="preserve"> FTEs.</w:t>
      </w:r>
    </w:p>
    <w:p w14:paraId="0EB6D5C7" w14:textId="693E0204" w:rsidR="00421598" w:rsidRPr="00C64973" w:rsidRDefault="00F3318E" w:rsidP="00421598">
      <w:pPr>
        <w:pStyle w:val="Caption"/>
        <w:rPr>
          <w:b w:val="0"/>
        </w:rPr>
      </w:pPr>
      <w:r w:rsidRPr="00C64973">
        <w:rPr>
          <w:b w:val="0"/>
        </w:rPr>
        <w:t>Grap</w:t>
      </w:r>
      <w:r w:rsidR="00E026CB" w:rsidRPr="00C64973">
        <w:rPr>
          <w:b w:val="0"/>
        </w:rPr>
        <w:t xml:space="preserve">h: 2: Total Number of Teachers of Students with Visual Impairments in Texas </w:t>
      </w:r>
    </w:p>
    <w:p w14:paraId="4F0D3E24" w14:textId="118057DC" w:rsidR="00F306FF" w:rsidRPr="00C64973" w:rsidRDefault="00574BC5" w:rsidP="00F306FF">
      <w:pPr>
        <w:spacing w:after="0" w:line="240" w:lineRule="auto"/>
        <w:rPr>
          <w:rFonts w:cs="Arial"/>
          <w:sz w:val="20"/>
        </w:rPr>
      </w:pPr>
      <w:r w:rsidRPr="00574BC5">
        <w:rPr>
          <w:rFonts w:cs="Arial"/>
          <w:sz w:val="20"/>
        </w:rPr>
        <w:t>After a significant increase in 2009 the number of TVIs has held relatively steady with increases seen in 2014 and 2019. The total number of TVIs in 2020 decreased by 25 individuals from 694 to 669.</w:t>
      </w:r>
    </w:p>
    <w:tbl>
      <w:tblPr>
        <w:tblW w:w="0" w:type="auto"/>
        <w:tblLook w:val="04A0" w:firstRow="1" w:lastRow="0" w:firstColumn="1" w:lastColumn="0" w:noHBand="0" w:noVBand="1"/>
      </w:tblPr>
      <w:tblGrid>
        <w:gridCol w:w="2117"/>
        <w:gridCol w:w="222"/>
        <w:gridCol w:w="222"/>
        <w:gridCol w:w="661"/>
        <w:gridCol w:w="661"/>
        <w:gridCol w:w="661"/>
        <w:gridCol w:w="661"/>
        <w:gridCol w:w="661"/>
        <w:gridCol w:w="661"/>
        <w:gridCol w:w="661"/>
        <w:gridCol w:w="661"/>
        <w:gridCol w:w="661"/>
        <w:gridCol w:w="661"/>
        <w:gridCol w:w="661"/>
      </w:tblGrid>
      <w:tr w:rsidR="00570B29" w:rsidRPr="00570B29" w14:paraId="06AF8ED0" w14:textId="77777777" w:rsidTr="00570B29">
        <w:trPr>
          <w:trHeight w:val="540"/>
        </w:trPr>
        <w:tc>
          <w:tcPr>
            <w:tcW w:w="0" w:type="auto"/>
            <w:tcBorders>
              <w:top w:val="nil"/>
              <w:left w:val="nil"/>
              <w:bottom w:val="nil"/>
              <w:right w:val="nil"/>
            </w:tcBorders>
            <w:shd w:val="clear" w:color="FFFF00" w:fill="FFFF00"/>
            <w:noWrap/>
            <w:vAlign w:val="bottom"/>
            <w:hideMark/>
          </w:tcPr>
          <w:p w14:paraId="006F2B46" w14:textId="70A44E34" w:rsidR="00570B29" w:rsidRPr="00570B29" w:rsidRDefault="00570B29" w:rsidP="00570B2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43DBCEC8" w14:textId="4EF6C59C" w:rsidR="00570B29" w:rsidRPr="00570B29" w:rsidRDefault="00570B29" w:rsidP="00570B2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6298AAE4" w14:textId="15305CB7" w:rsidR="00570B29" w:rsidRPr="00570B29" w:rsidRDefault="00570B29" w:rsidP="00570B29">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5E0E923" w14:textId="50B97215" w:rsidR="00570B29" w:rsidRPr="00570B29" w:rsidRDefault="00570B29" w:rsidP="00570B29">
            <w:pPr>
              <w:spacing w:after="0" w:line="240" w:lineRule="auto"/>
              <w:jc w:val="right"/>
              <w:rPr>
                <w:rFonts w:cs="Arial"/>
                <w:color w:val="000000"/>
                <w:sz w:val="20"/>
              </w:rPr>
            </w:pPr>
            <w:r w:rsidRPr="00570B29">
              <w:rPr>
                <w:rFonts w:cs="Arial"/>
                <w:color w:val="000000"/>
                <w:sz w:val="20"/>
              </w:rPr>
              <w:t>2010</w:t>
            </w:r>
          </w:p>
        </w:tc>
        <w:tc>
          <w:tcPr>
            <w:tcW w:w="0" w:type="auto"/>
            <w:tcBorders>
              <w:top w:val="nil"/>
              <w:left w:val="nil"/>
              <w:bottom w:val="nil"/>
              <w:right w:val="nil"/>
            </w:tcBorders>
            <w:shd w:val="clear" w:color="auto" w:fill="auto"/>
            <w:noWrap/>
            <w:vAlign w:val="bottom"/>
            <w:hideMark/>
          </w:tcPr>
          <w:p w14:paraId="705CA44D" w14:textId="50A78AAA" w:rsidR="00570B29" w:rsidRPr="00570B29" w:rsidRDefault="00570B29" w:rsidP="00570B29">
            <w:pPr>
              <w:spacing w:after="0" w:line="240" w:lineRule="auto"/>
              <w:jc w:val="right"/>
              <w:rPr>
                <w:rFonts w:cs="Arial"/>
                <w:color w:val="000000"/>
                <w:sz w:val="20"/>
              </w:rPr>
            </w:pPr>
            <w:r w:rsidRPr="00570B29">
              <w:rPr>
                <w:rFonts w:cs="Arial"/>
                <w:color w:val="000000"/>
                <w:sz w:val="20"/>
              </w:rPr>
              <w:t>2011</w:t>
            </w:r>
          </w:p>
        </w:tc>
        <w:tc>
          <w:tcPr>
            <w:tcW w:w="0" w:type="auto"/>
            <w:tcBorders>
              <w:top w:val="nil"/>
              <w:left w:val="nil"/>
              <w:bottom w:val="nil"/>
              <w:right w:val="nil"/>
            </w:tcBorders>
            <w:shd w:val="clear" w:color="auto" w:fill="auto"/>
            <w:noWrap/>
            <w:vAlign w:val="bottom"/>
            <w:hideMark/>
          </w:tcPr>
          <w:p w14:paraId="2D180DD8" w14:textId="72D04C92" w:rsidR="00570B29" w:rsidRPr="00570B29" w:rsidRDefault="00570B29" w:rsidP="00570B29">
            <w:pPr>
              <w:spacing w:after="0" w:line="240" w:lineRule="auto"/>
              <w:jc w:val="right"/>
              <w:rPr>
                <w:rFonts w:cs="Arial"/>
                <w:color w:val="000000"/>
                <w:sz w:val="20"/>
              </w:rPr>
            </w:pPr>
            <w:r w:rsidRPr="00570B29">
              <w:rPr>
                <w:rFonts w:cs="Arial"/>
                <w:color w:val="000000"/>
                <w:sz w:val="20"/>
              </w:rPr>
              <w:t>2012</w:t>
            </w:r>
          </w:p>
        </w:tc>
        <w:tc>
          <w:tcPr>
            <w:tcW w:w="0" w:type="auto"/>
            <w:tcBorders>
              <w:top w:val="nil"/>
              <w:left w:val="nil"/>
              <w:bottom w:val="nil"/>
              <w:right w:val="nil"/>
            </w:tcBorders>
            <w:shd w:val="clear" w:color="auto" w:fill="auto"/>
            <w:noWrap/>
            <w:vAlign w:val="bottom"/>
            <w:hideMark/>
          </w:tcPr>
          <w:p w14:paraId="0ED7D24A" w14:textId="574F11D5" w:rsidR="00570B29" w:rsidRPr="00570B29" w:rsidRDefault="00570B29" w:rsidP="00570B29">
            <w:pPr>
              <w:spacing w:after="0" w:line="240" w:lineRule="auto"/>
              <w:jc w:val="right"/>
              <w:rPr>
                <w:rFonts w:cs="Arial"/>
                <w:color w:val="000000"/>
                <w:sz w:val="20"/>
              </w:rPr>
            </w:pPr>
            <w:r w:rsidRPr="00570B29">
              <w:rPr>
                <w:rFonts w:cs="Arial"/>
                <w:color w:val="000000"/>
                <w:sz w:val="20"/>
              </w:rPr>
              <w:t>2013</w:t>
            </w:r>
          </w:p>
        </w:tc>
        <w:tc>
          <w:tcPr>
            <w:tcW w:w="0" w:type="auto"/>
            <w:tcBorders>
              <w:top w:val="nil"/>
              <w:left w:val="nil"/>
              <w:bottom w:val="nil"/>
              <w:right w:val="nil"/>
            </w:tcBorders>
            <w:shd w:val="clear" w:color="auto" w:fill="auto"/>
            <w:noWrap/>
            <w:vAlign w:val="bottom"/>
            <w:hideMark/>
          </w:tcPr>
          <w:p w14:paraId="08AB2AEA" w14:textId="03D390A0" w:rsidR="00570B29" w:rsidRPr="00570B29" w:rsidRDefault="00570B29" w:rsidP="00570B29">
            <w:pPr>
              <w:spacing w:after="0" w:line="240" w:lineRule="auto"/>
              <w:jc w:val="right"/>
              <w:rPr>
                <w:rFonts w:cs="Arial"/>
                <w:color w:val="000000"/>
                <w:sz w:val="20"/>
              </w:rPr>
            </w:pPr>
            <w:r w:rsidRPr="00570B29">
              <w:rPr>
                <w:rFonts w:cs="Arial"/>
                <w:color w:val="000000"/>
                <w:sz w:val="20"/>
              </w:rPr>
              <w:t>2014</w:t>
            </w:r>
          </w:p>
        </w:tc>
        <w:tc>
          <w:tcPr>
            <w:tcW w:w="0" w:type="auto"/>
            <w:tcBorders>
              <w:top w:val="nil"/>
              <w:left w:val="nil"/>
              <w:bottom w:val="nil"/>
              <w:right w:val="nil"/>
            </w:tcBorders>
            <w:shd w:val="clear" w:color="auto" w:fill="auto"/>
            <w:noWrap/>
            <w:vAlign w:val="bottom"/>
            <w:hideMark/>
          </w:tcPr>
          <w:p w14:paraId="299A182B" w14:textId="121A3F7E" w:rsidR="00570B29" w:rsidRPr="00570B29" w:rsidRDefault="00570B29" w:rsidP="00570B29">
            <w:pPr>
              <w:spacing w:after="0" w:line="240" w:lineRule="auto"/>
              <w:jc w:val="right"/>
              <w:rPr>
                <w:rFonts w:cs="Arial"/>
                <w:color w:val="000000"/>
                <w:sz w:val="20"/>
              </w:rPr>
            </w:pPr>
            <w:r w:rsidRPr="00570B29">
              <w:rPr>
                <w:rFonts w:cs="Arial"/>
                <w:color w:val="000000"/>
                <w:sz w:val="20"/>
              </w:rPr>
              <w:t>2015</w:t>
            </w:r>
          </w:p>
        </w:tc>
        <w:tc>
          <w:tcPr>
            <w:tcW w:w="0" w:type="auto"/>
            <w:tcBorders>
              <w:top w:val="nil"/>
              <w:left w:val="nil"/>
              <w:bottom w:val="nil"/>
              <w:right w:val="nil"/>
            </w:tcBorders>
            <w:shd w:val="clear" w:color="auto" w:fill="auto"/>
            <w:noWrap/>
            <w:vAlign w:val="bottom"/>
            <w:hideMark/>
          </w:tcPr>
          <w:p w14:paraId="179DF633" w14:textId="54DE62BB" w:rsidR="00570B29" w:rsidRPr="00570B29" w:rsidRDefault="00570B29" w:rsidP="00570B29">
            <w:pPr>
              <w:spacing w:after="0" w:line="240" w:lineRule="auto"/>
              <w:jc w:val="right"/>
              <w:rPr>
                <w:rFonts w:cs="Arial"/>
                <w:color w:val="000000"/>
                <w:sz w:val="20"/>
              </w:rPr>
            </w:pPr>
            <w:r w:rsidRPr="00570B29">
              <w:rPr>
                <w:rFonts w:cs="Arial"/>
                <w:color w:val="000000"/>
                <w:sz w:val="20"/>
              </w:rPr>
              <w:t>2016</w:t>
            </w:r>
          </w:p>
        </w:tc>
        <w:tc>
          <w:tcPr>
            <w:tcW w:w="0" w:type="auto"/>
            <w:tcBorders>
              <w:top w:val="nil"/>
              <w:left w:val="nil"/>
              <w:bottom w:val="nil"/>
              <w:right w:val="nil"/>
            </w:tcBorders>
            <w:shd w:val="clear" w:color="auto" w:fill="auto"/>
            <w:noWrap/>
            <w:vAlign w:val="bottom"/>
            <w:hideMark/>
          </w:tcPr>
          <w:p w14:paraId="21FACE6F" w14:textId="581FB5DB" w:rsidR="00570B29" w:rsidRPr="00570B29" w:rsidRDefault="00570B29" w:rsidP="00570B29">
            <w:pPr>
              <w:spacing w:after="0" w:line="240" w:lineRule="auto"/>
              <w:jc w:val="right"/>
              <w:rPr>
                <w:rFonts w:cs="Arial"/>
                <w:color w:val="000000"/>
                <w:sz w:val="20"/>
              </w:rPr>
            </w:pPr>
            <w:r w:rsidRPr="00570B29">
              <w:rPr>
                <w:rFonts w:cs="Arial"/>
                <w:color w:val="000000"/>
                <w:sz w:val="20"/>
              </w:rPr>
              <w:t>2017</w:t>
            </w:r>
          </w:p>
        </w:tc>
        <w:tc>
          <w:tcPr>
            <w:tcW w:w="0" w:type="auto"/>
            <w:tcBorders>
              <w:top w:val="nil"/>
              <w:left w:val="nil"/>
              <w:bottom w:val="nil"/>
              <w:right w:val="nil"/>
            </w:tcBorders>
            <w:shd w:val="clear" w:color="auto" w:fill="auto"/>
            <w:noWrap/>
            <w:vAlign w:val="bottom"/>
            <w:hideMark/>
          </w:tcPr>
          <w:p w14:paraId="2DCE2BE0"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2018</w:t>
            </w:r>
          </w:p>
        </w:tc>
        <w:tc>
          <w:tcPr>
            <w:tcW w:w="0" w:type="auto"/>
            <w:tcBorders>
              <w:top w:val="nil"/>
              <w:left w:val="nil"/>
              <w:bottom w:val="nil"/>
              <w:right w:val="nil"/>
            </w:tcBorders>
            <w:shd w:val="clear" w:color="auto" w:fill="auto"/>
            <w:noWrap/>
            <w:vAlign w:val="bottom"/>
            <w:hideMark/>
          </w:tcPr>
          <w:p w14:paraId="59760904"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2019</w:t>
            </w:r>
          </w:p>
        </w:tc>
        <w:tc>
          <w:tcPr>
            <w:tcW w:w="0" w:type="auto"/>
            <w:tcBorders>
              <w:top w:val="nil"/>
              <w:left w:val="nil"/>
              <w:bottom w:val="nil"/>
              <w:right w:val="nil"/>
            </w:tcBorders>
            <w:shd w:val="clear" w:color="auto" w:fill="auto"/>
            <w:noWrap/>
            <w:vAlign w:val="bottom"/>
            <w:hideMark/>
          </w:tcPr>
          <w:p w14:paraId="2044B3B9"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2020</w:t>
            </w:r>
          </w:p>
        </w:tc>
      </w:tr>
      <w:tr w:rsidR="00570B29" w:rsidRPr="00570B29" w14:paraId="5CBB31DC" w14:textId="77777777" w:rsidTr="00570B29">
        <w:trPr>
          <w:trHeight w:val="540"/>
        </w:trPr>
        <w:tc>
          <w:tcPr>
            <w:tcW w:w="0" w:type="auto"/>
            <w:tcBorders>
              <w:top w:val="nil"/>
              <w:left w:val="nil"/>
              <w:bottom w:val="nil"/>
              <w:right w:val="nil"/>
            </w:tcBorders>
            <w:shd w:val="clear" w:color="auto" w:fill="auto"/>
            <w:vAlign w:val="bottom"/>
            <w:hideMark/>
          </w:tcPr>
          <w:p w14:paraId="1806636F" w14:textId="48851867" w:rsidR="00570B29" w:rsidRPr="00570B29" w:rsidRDefault="00570B29" w:rsidP="00570B29">
            <w:pPr>
              <w:spacing w:after="0" w:line="240" w:lineRule="auto"/>
              <w:rPr>
                <w:rFonts w:cs="Arial"/>
                <w:sz w:val="20"/>
              </w:rPr>
            </w:pPr>
            <w:r w:rsidRPr="00570B29">
              <w:rPr>
                <w:rFonts w:cs="Arial"/>
                <w:sz w:val="20"/>
              </w:rPr>
              <w:t xml:space="preserve">Total Number of TVIs </w:t>
            </w:r>
          </w:p>
        </w:tc>
        <w:tc>
          <w:tcPr>
            <w:tcW w:w="0" w:type="auto"/>
            <w:tcBorders>
              <w:top w:val="nil"/>
              <w:left w:val="nil"/>
              <w:bottom w:val="nil"/>
              <w:right w:val="nil"/>
            </w:tcBorders>
            <w:shd w:val="clear" w:color="auto" w:fill="auto"/>
            <w:noWrap/>
            <w:vAlign w:val="bottom"/>
            <w:hideMark/>
          </w:tcPr>
          <w:p w14:paraId="482150B2" w14:textId="77777777" w:rsidR="00570B29" w:rsidRPr="00570B29" w:rsidRDefault="00570B29" w:rsidP="00570B2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41219F6B" w14:textId="1FB590B2" w:rsidR="00570B29" w:rsidRPr="00570B29" w:rsidRDefault="00570B29" w:rsidP="00570B29">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1EDB525" w14:textId="035AAE96" w:rsidR="00570B29" w:rsidRPr="00570B29" w:rsidRDefault="00570B29" w:rsidP="00570B29">
            <w:pPr>
              <w:spacing w:after="0" w:line="240" w:lineRule="auto"/>
              <w:jc w:val="right"/>
              <w:rPr>
                <w:rFonts w:cs="Arial"/>
                <w:color w:val="000000"/>
                <w:sz w:val="20"/>
              </w:rPr>
            </w:pPr>
            <w:r w:rsidRPr="00570B29">
              <w:rPr>
                <w:rFonts w:cs="Arial"/>
                <w:color w:val="000000"/>
                <w:sz w:val="20"/>
              </w:rPr>
              <w:t>691</w:t>
            </w:r>
          </w:p>
        </w:tc>
        <w:tc>
          <w:tcPr>
            <w:tcW w:w="0" w:type="auto"/>
            <w:tcBorders>
              <w:top w:val="nil"/>
              <w:left w:val="nil"/>
              <w:bottom w:val="nil"/>
              <w:right w:val="nil"/>
            </w:tcBorders>
            <w:shd w:val="clear" w:color="auto" w:fill="auto"/>
            <w:noWrap/>
            <w:vAlign w:val="bottom"/>
            <w:hideMark/>
          </w:tcPr>
          <w:p w14:paraId="574B2E26" w14:textId="520E4EF3" w:rsidR="00570B29" w:rsidRPr="00570B29" w:rsidRDefault="00570B29" w:rsidP="00570B29">
            <w:pPr>
              <w:spacing w:after="0" w:line="240" w:lineRule="auto"/>
              <w:jc w:val="right"/>
              <w:rPr>
                <w:rFonts w:cs="Arial"/>
                <w:color w:val="000000"/>
                <w:sz w:val="20"/>
              </w:rPr>
            </w:pPr>
            <w:r w:rsidRPr="00570B29">
              <w:rPr>
                <w:rFonts w:cs="Arial"/>
                <w:color w:val="000000"/>
                <w:sz w:val="20"/>
              </w:rPr>
              <w:t>693</w:t>
            </w:r>
          </w:p>
        </w:tc>
        <w:tc>
          <w:tcPr>
            <w:tcW w:w="0" w:type="auto"/>
            <w:tcBorders>
              <w:top w:val="nil"/>
              <w:left w:val="nil"/>
              <w:bottom w:val="nil"/>
              <w:right w:val="nil"/>
            </w:tcBorders>
            <w:shd w:val="clear" w:color="auto" w:fill="auto"/>
            <w:noWrap/>
            <w:vAlign w:val="bottom"/>
            <w:hideMark/>
          </w:tcPr>
          <w:p w14:paraId="7A363C3F" w14:textId="7BE14D12" w:rsidR="00570B29" w:rsidRPr="00570B29" w:rsidRDefault="00570B29" w:rsidP="00570B29">
            <w:pPr>
              <w:spacing w:after="0" w:line="240" w:lineRule="auto"/>
              <w:jc w:val="right"/>
              <w:rPr>
                <w:rFonts w:cs="Arial"/>
                <w:color w:val="000000"/>
                <w:sz w:val="20"/>
              </w:rPr>
            </w:pPr>
            <w:r w:rsidRPr="00570B29">
              <w:rPr>
                <w:rFonts w:cs="Arial"/>
                <w:color w:val="000000"/>
                <w:sz w:val="20"/>
              </w:rPr>
              <w:t>699</w:t>
            </w:r>
          </w:p>
        </w:tc>
        <w:tc>
          <w:tcPr>
            <w:tcW w:w="0" w:type="auto"/>
            <w:tcBorders>
              <w:top w:val="nil"/>
              <w:left w:val="nil"/>
              <w:bottom w:val="nil"/>
              <w:right w:val="nil"/>
            </w:tcBorders>
            <w:shd w:val="clear" w:color="auto" w:fill="auto"/>
            <w:noWrap/>
            <w:vAlign w:val="bottom"/>
            <w:hideMark/>
          </w:tcPr>
          <w:p w14:paraId="0DB231EE" w14:textId="0F6C039B" w:rsidR="00570B29" w:rsidRPr="00570B29" w:rsidRDefault="007873BB" w:rsidP="00570B29">
            <w:pPr>
              <w:spacing w:after="0" w:line="240" w:lineRule="auto"/>
              <w:jc w:val="right"/>
              <w:rPr>
                <w:rFonts w:cs="Arial"/>
                <w:color w:val="000000"/>
                <w:sz w:val="20"/>
              </w:rPr>
            </w:pPr>
            <w:r w:rsidRPr="00C64973">
              <w:rPr>
                <w:b/>
                <w:noProof/>
              </w:rPr>
              <w:drawing>
                <wp:anchor distT="0" distB="0" distL="114300" distR="114300" simplePos="0" relativeHeight="251748864" behindDoc="0" locked="0" layoutInCell="1" allowOverlap="1" wp14:anchorId="7FAA9353" wp14:editId="65FF6E5E">
                  <wp:simplePos x="0" y="0"/>
                  <wp:positionH relativeFrom="margin">
                    <wp:posOffset>-2948940</wp:posOffset>
                  </wp:positionH>
                  <wp:positionV relativeFrom="margin">
                    <wp:posOffset>-1062355</wp:posOffset>
                  </wp:positionV>
                  <wp:extent cx="6511925" cy="2451735"/>
                  <wp:effectExtent l="0" t="0" r="3175" b="57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1925" cy="2451735"/>
                          </a:xfrm>
                          <a:prstGeom prst="rect">
                            <a:avLst/>
                          </a:prstGeom>
                          <a:noFill/>
                        </pic:spPr>
                      </pic:pic>
                    </a:graphicData>
                  </a:graphic>
                  <wp14:sizeRelH relativeFrom="margin">
                    <wp14:pctWidth>0</wp14:pctWidth>
                  </wp14:sizeRelH>
                  <wp14:sizeRelV relativeFrom="margin">
                    <wp14:pctHeight>0</wp14:pctHeight>
                  </wp14:sizeRelV>
                </wp:anchor>
              </w:drawing>
            </w:r>
            <w:r w:rsidR="00570B29" w:rsidRPr="00570B29">
              <w:rPr>
                <w:rFonts w:cs="Arial"/>
                <w:color w:val="000000"/>
                <w:sz w:val="20"/>
              </w:rPr>
              <w:t>697</w:t>
            </w:r>
          </w:p>
        </w:tc>
        <w:tc>
          <w:tcPr>
            <w:tcW w:w="0" w:type="auto"/>
            <w:tcBorders>
              <w:top w:val="nil"/>
              <w:left w:val="nil"/>
              <w:bottom w:val="nil"/>
              <w:right w:val="nil"/>
            </w:tcBorders>
            <w:shd w:val="clear" w:color="auto" w:fill="auto"/>
            <w:noWrap/>
            <w:vAlign w:val="bottom"/>
            <w:hideMark/>
          </w:tcPr>
          <w:p w14:paraId="08322073" w14:textId="260207F1" w:rsidR="00570B29" w:rsidRPr="00570B29" w:rsidRDefault="00570B29" w:rsidP="00570B29">
            <w:pPr>
              <w:spacing w:after="0" w:line="240" w:lineRule="auto"/>
              <w:jc w:val="right"/>
              <w:rPr>
                <w:rFonts w:cs="Arial"/>
                <w:color w:val="000000"/>
                <w:sz w:val="20"/>
              </w:rPr>
            </w:pPr>
            <w:r w:rsidRPr="00570B29">
              <w:rPr>
                <w:rFonts w:cs="Arial"/>
                <w:color w:val="000000"/>
                <w:sz w:val="20"/>
              </w:rPr>
              <w:t>708</w:t>
            </w:r>
          </w:p>
        </w:tc>
        <w:tc>
          <w:tcPr>
            <w:tcW w:w="0" w:type="auto"/>
            <w:tcBorders>
              <w:top w:val="nil"/>
              <w:left w:val="nil"/>
              <w:bottom w:val="nil"/>
              <w:right w:val="nil"/>
            </w:tcBorders>
            <w:shd w:val="clear" w:color="auto" w:fill="auto"/>
            <w:noWrap/>
            <w:vAlign w:val="bottom"/>
            <w:hideMark/>
          </w:tcPr>
          <w:p w14:paraId="06139CF8" w14:textId="32F97FEB" w:rsidR="00570B29" w:rsidRPr="00570B29" w:rsidRDefault="00570B29" w:rsidP="00570B29">
            <w:pPr>
              <w:spacing w:after="0" w:line="240" w:lineRule="auto"/>
              <w:jc w:val="right"/>
              <w:rPr>
                <w:rFonts w:cs="Arial"/>
                <w:color w:val="000000"/>
                <w:sz w:val="20"/>
              </w:rPr>
            </w:pPr>
            <w:r w:rsidRPr="00570B29">
              <w:rPr>
                <w:rFonts w:cs="Arial"/>
                <w:color w:val="000000"/>
                <w:sz w:val="20"/>
              </w:rPr>
              <w:t>692</w:t>
            </w:r>
          </w:p>
        </w:tc>
        <w:tc>
          <w:tcPr>
            <w:tcW w:w="0" w:type="auto"/>
            <w:tcBorders>
              <w:top w:val="nil"/>
              <w:left w:val="nil"/>
              <w:bottom w:val="nil"/>
              <w:right w:val="nil"/>
            </w:tcBorders>
            <w:shd w:val="clear" w:color="auto" w:fill="auto"/>
            <w:noWrap/>
            <w:vAlign w:val="bottom"/>
            <w:hideMark/>
          </w:tcPr>
          <w:p w14:paraId="39798A9F"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687</w:t>
            </w:r>
          </w:p>
        </w:tc>
        <w:tc>
          <w:tcPr>
            <w:tcW w:w="0" w:type="auto"/>
            <w:tcBorders>
              <w:top w:val="nil"/>
              <w:left w:val="nil"/>
              <w:bottom w:val="nil"/>
              <w:right w:val="nil"/>
            </w:tcBorders>
            <w:shd w:val="clear" w:color="auto" w:fill="auto"/>
            <w:noWrap/>
            <w:vAlign w:val="bottom"/>
            <w:hideMark/>
          </w:tcPr>
          <w:p w14:paraId="06C7B5E7"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681</w:t>
            </w:r>
          </w:p>
        </w:tc>
        <w:tc>
          <w:tcPr>
            <w:tcW w:w="0" w:type="auto"/>
            <w:tcBorders>
              <w:top w:val="nil"/>
              <w:left w:val="nil"/>
              <w:bottom w:val="nil"/>
              <w:right w:val="nil"/>
            </w:tcBorders>
            <w:shd w:val="clear" w:color="auto" w:fill="auto"/>
            <w:noWrap/>
            <w:vAlign w:val="bottom"/>
            <w:hideMark/>
          </w:tcPr>
          <w:p w14:paraId="369A24FA"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681</w:t>
            </w:r>
          </w:p>
        </w:tc>
        <w:tc>
          <w:tcPr>
            <w:tcW w:w="0" w:type="auto"/>
            <w:tcBorders>
              <w:top w:val="nil"/>
              <w:left w:val="nil"/>
              <w:bottom w:val="nil"/>
              <w:right w:val="nil"/>
            </w:tcBorders>
            <w:shd w:val="clear" w:color="auto" w:fill="auto"/>
            <w:noWrap/>
            <w:vAlign w:val="bottom"/>
            <w:hideMark/>
          </w:tcPr>
          <w:p w14:paraId="52895E4A"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694</w:t>
            </w:r>
          </w:p>
        </w:tc>
        <w:tc>
          <w:tcPr>
            <w:tcW w:w="0" w:type="auto"/>
            <w:tcBorders>
              <w:top w:val="nil"/>
              <w:left w:val="nil"/>
              <w:bottom w:val="nil"/>
              <w:right w:val="nil"/>
            </w:tcBorders>
            <w:shd w:val="clear" w:color="auto" w:fill="auto"/>
            <w:noWrap/>
            <w:vAlign w:val="bottom"/>
            <w:hideMark/>
          </w:tcPr>
          <w:p w14:paraId="7AF3240E" w14:textId="77777777" w:rsidR="00570B29" w:rsidRPr="00570B29" w:rsidRDefault="00570B29" w:rsidP="00570B29">
            <w:pPr>
              <w:spacing w:after="0" w:line="240" w:lineRule="auto"/>
              <w:jc w:val="right"/>
              <w:rPr>
                <w:rFonts w:cs="Arial"/>
                <w:color w:val="000000"/>
                <w:sz w:val="20"/>
              </w:rPr>
            </w:pPr>
            <w:r w:rsidRPr="00570B29">
              <w:rPr>
                <w:rFonts w:cs="Arial"/>
                <w:color w:val="000000"/>
                <w:sz w:val="20"/>
              </w:rPr>
              <w:t>669</w:t>
            </w:r>
          </w:p>
        </w:tc>
      </w:tr>
    </w:tbl>
    <w:p w14:paraId="51562FEE" w14:textId="30B4FC72" w:rsidR="009C05D0" w:rsidRDefault="009C05D0" w:rsidP="00421598">
      <w:pPr>
        <w:spacing w:line="288" w:lineRule="auto"/>
      </w:pPr>
    </w:p>
    <w:p w14:paraId="017655E5" w14:textId="77777777" w:rsidR="00570B29" w:rsidRPr="00C64973" w:rsidRDefault="00570B29" w:rsidP="00421598">
      <w:pPr>
        <w:spacing w:line="288" w:lineRule="auto"/>
      </w:pPr>
    </w:p>
    <w:p w14:paraId="4009B55C" w14:textId="3B2F7119" w:rsidR="000A1B38" w:rsidRPr="00C64973" w:rsidRDefault="002204E9" w:rsidP="00421598">
      <w:pPr>
        <w:spacing w:line="288" w:lineRule="auto"/>
      </w:pPr>
      <w:r w:rsidRPr="00C64973">
        <w:rPr>
          <w:noProof/>
        </w:rPr>
        <w:drawing>
          <wp:anchor distT="0" distB="0" distL="114300" distR="114300" simplePos="0" relativeHeight="251749888" behindDoc="0" locked="0" layoutInCell="1" allowOverlap="1" wp14:anchorId="7D17EFBF" wp14:editId="42FB5334">
            <wp:simplePos x="0" y="0"/>
            <wp:positionH relativeFrom="margin">
              <wp:posOffset>-171450</wp:posOffset>
            </wp:positionH>
            <wp:positionV relativeFrom="page">
              <wp:posOffset>1856740</wp:posOffset>
            </wp:positionV>
            <wp:extent cx="6846570" cy="24631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6570" cy="2463165"/>
                    </a:xfrm>
                    <a:prstGeom prst="rect">
                      <a:avLst/>
                    </a:prstGeom>
                    <a:noFill/>
                  </pic:spPr>
                </pic:pic>
              </a:graphicData>
            </a:graphic>
            <wp14:sizeRelH relativeFrom="margin">
              <wp14:pctWidth>0</wp14:pctWidth>
            </wp14:sizeRelH>
            <wp14:sizeRelV relativeFrom="margin">
              <wp14:pctHeight>0</wp14:pctHeight>
            </wp14:sizeRelV>
          </wp:anchor>
        </w:drawing>
      </w:r>
      <w:r w:rsidR="00901F21" w:rsidRPr="00C64973">
        <w:t xml:space="preserve">The graph above </w:t>
      </w:r>
      <w:r w:rsidR="0049211A" w:rsidRPr="00C64973">
        <w:t>shows t</w:t>
      </w:r>
      <w:r w:rsidR="00CB7BDE" w:rsidRPr="00C64973">
        <w:t>he absence of significant increase, and at times a decline,</w:t>
      </w:r>
      <w:r w:rsidR="0049211A" w:rsidRPr="00C64973">
        <w:t xml:space="preserve"> in the </w:t>
      </w:r>
      <w:r w:rsidR="00901F21" w:rsidRPr="00C64973">
        <w:t xml:space="preserve">total </w:t>
      </w:r>
      <w:r w:rsidR="0049211A" w:rsidRPr="00C64973">
        <w:t xml:space="preserve">number of </w:t>
      </w:r>
      <w:r w:rsidR="00723F4D" w:rsidRPr="00C64973">
        <w:t>TVI</w:t>
      </w:r>
      <w:r w:rsidR="005A365B" w:rsidRPr="00C64973">
        <w:t>s across the state. T</w:t>
      </w:r>
      <w:r w:rsidR="00901F21" w:rsidRPr="00C64973">
        <w:t xml:space="preserve">he graph below shows the </w:t>
      </w:r>
      <w:r w:rsidR="00212F82" w:rsidRPr="00C64973">
        <w:t xml:space="preserve">full - and part-time </w:t>
      </w:r>
      <w:r w:rsidR="00723F4D" w:rsidRPr="00C64973">
        <w:t>TVI</w:t>
      </w:r>
      <w:r w:rsidR="001A6D76" w:rsidRPr="00C64973">
        <w:t xml:space="preserve"> totals </w:t>
      </w:r>
      <w:r w:rsidR="008201D3" w:rsidRPr="00C64973">
        <w:t xml:space="preserve">over recent </w:t>
      </w:r>
      <w:r w:rsidR="0049211A" w:rsidRPr="00C64973">
        <w:t xml:space="preserve">years. </w:t>
      </w:r>
      <w:r w:rsidR="005A365B" w:rsidRPr="00C64973">
        <w:t xml:space="preserve">The </w:t>
      </w:r>
      <w:r w:rsidR="00CB7BDE" w:rsidRPr="00C64973">
        <w:t>de</w:t>
      </w:r>
      <w:r w:rsidR="005B2584" w:rsidRPr="00C64973">
        <w:t>crease</w:t>
      </w:r>
      <w:r w:rsidR="00F1464F" w:rsidRPr="00C64973">
        <w:t xml:space="preserve"> </w:t>
      </w:r>
      <w:r w:rsidR="0037468D" w:rsidRPr="00C64973">
        <w:t xml:space="preserve">in the availability of </w:t>
      </w:r>
      <w:r w:rsidR="00723F4D" w:rsidRPr="00C64973">
        <w:t>TVI</w:t>
      </w:r>
      <w:r w:rsidR="0037468D" w:rsidRPr="00C64973">
        <w:t xml:space="preserve">s </w:t>
      </w:r>
      <w:r w:rsidR="00CB7BDE" w:rsidRPr="00C64973">
        <w:t>in 2020</w:t>
      </w:r>
      <w:r w:rsidR="004A64FE" w:rsidRPr="00C64973">
        <w:t xml:space="preserve"> is a </w:t>
      </w:r>
      <w:r w:rsidR="00620CA7" w:rsidRPr="00C64973">
        <w:t xml:space="preserve">concern given that </w:t>
      </w:r>
      <w:r w:rsidR="00CB7BDE" w:rsidRPr="00C64973">
        <w:t xml:space="preserve">372 additional students were </w:t>
      </w:r>
      <w:r w:rsidR="005B2584" w:rsidRPr="00C64973">
        <w:t>added to the</w:t>
      </w:r>
      <w:r w:rsidR="005B2584" w:rsidRPr="00C64973">
        <w:rPr>
          <w:b/>
        </w:rPr>
        <w:t xml:space="preserve"> </w:t>
      </w:r>
      <w:r w:rsidR="005B2584" w:rsidRPr="00C64973">
        <w:rPr>
          <w:i/>
        </w:rPr>
        <w:t>Annual Registration of Students with Visual Impairments</w:t>
      </w:r>
      <w:r w:rsidR="00CB7BDE" w:rsidRPr="00C64973">
        <w:t xml:space="preserve"> this year</w:t>
      </w:r>
      <w:r w:rsidR="005B2584" w:rsidRPr="00C64973">
        <w:t xml:space="preserve">. </w:t>
      </w:r>
    </w:p>
    <w:p w14:paraId="0EFB6358" w14:textId="4AAA1621" w:rsidR="00F3318E" w:rsidRPr="002204E9" w:rsidRDefault="002204E9" w:rsidP="00F3318E">
      <w:pPr>
        <w:pStyle w:val="Caption"/>
        <w:rPr>
          <w:rFonts w:cs="Arial"/>
          <w:noProof/>
          <w:sz w:val="24"/>
          <w:szCs w:val="26"/>
        </w:rPr>
      </w:pPr>
      <w:r>
        <w:rPr>
          <w:b w:val="0"/>
        </w:rPr>
        <w:t>Bar graph</w:t>
      </w:r>
      <w:r w:rsidR="00F3318E" w:rsidRPr="002204E9">
        <w:rPr>
          <w:b w:val="0"/>
        </w:rPr>
        <w:t xml:space="preserve"> 1: Full – and Part-time </w:t>
      </w:r>
      <w:r w:rsidR="00723F4D" w:rsidRPr="002204E9">
        <w:rPr>
          <w:b w:val="0"/>
        </w:rPr>
        <w:t>TVI</w:t>
      </w:r>
      <w:r>
        <w:rPr>
          <w:b w:val="0"/>
        </w:rPr>
        <w:t>s</w:t>
      </w:r>
      <w:r w:rsidR="00FB7040" w:rsidRPr="002204E9">
        <w:rPr>
          <w:rFonts w:cs="Arial"/>
          <w:noProof/>
          <w:sz w:val="24"/>
          <w:szCs w:val="26"/>
        </w:rPr>
        <w:t xml:space="preserve"> </w:t>
      </w:r>
    </w:p>
    <w:p w14:paraId="51DB29C2" w14:textId="196462CF" w:rsidR="00A6164C" w:rsidRPr="002204E9" w:rsidRDefault="002204E9" w:rsidP="005B2584">
      <w:pPr>
        <w:pStyle w:val="Heading3"/>
        <w:rPr>
          <w:b w:val="0"/>
          <w:sz w:val="20"/>
          <w:szCs w:val="20"/>
        </w:rPr>
      </w:pPr>
      <w:r w:rsidRPr="002204E9">
        <w:rPr>
          <w:b w:val="0"/>
          <w:sz w:val="20"/>
          <w:szCs w:val="20"/>
        </w:rPr>
        <w:t xml:space="preserve">The number of full time TVIs was 523 in 2010 and 511 in 2020. The most significant increase was seen in 2014 with a jump of 19 individuals followed by a large decrease of 24 in 2016 and 25 in 2020. Part time TVIs saw a high of 175 in 2012 and have fluctuated between a low of 144 and 168 since then. There were </w:t>
      </w:r>
      <w:proofErr w:type="gramStart"/>
      <w:r w:rsidRPr="002204E9">
        <w:rPr>
          <w:b w:val="0"/>
          <w:sz w:val="20"/>
          <w:szCs w:val="20"/>
        </w:rPr>
        <w:t>158 part</w:t>
      </w:r>
      <w:proofErr w:type="gramEnd"/>
      <w:r w:rsidRPr="002204E9">
        <w:rPr>
          <w:b w:val="0"/>
          <w:sz w:val="20"/>
          <w:szCs w:val="20"/>
        </w:rPr>
        <w:t xml:space="preserve"> time TVIs in Texas in 2020.</w:t>
      </w:r>
    </w:p>
    <w:tbl>
      <w:tblPr>
        <w:tblW w:w="0" w:type="auto"/>
        <w:tblLook w:val="04A0" w:firstRow="1" w:lastRow="0" w:firstColumn="1" w:lastColumn="0" w:noHBand="0" w:noVBand="1"/>
      </w:tblPr>
      <w:tblGrid>
        <w:gridCol w:w="1483"/>
        <w:gridCol w:w="222"/>
        <w:gridCol w:w="222"/>
        <w:gridCol w:w="661"/>
        <w:gridCol w:w="661"/>
        <w:gridCol w:w="661"/>
        <w:gridCol w:w="661"/>
        <w:gridCol w:w="661"/>
        <w:gridCol w:w="661"/>
        <w:gridCol w:w="661"/>
        <w:gridCol w:w="661"/>
        <w:gridCol w:w="661"/>
        <w:gridCol w:w="661"/>
        <w:gridCol w:w="661"/>
      </w:tblGrid>
      <w:tr w:rsidR="002204E9" w:rsidRPr="002204E9" w14:paraId="6FA4EC86" w14:textId="77777777" w:rsidTr="002204E9">
        <w:trPr>
          <w:trHeight w:val="255"/>
        </w:trPr>
        <w:tc>
          <w:tcPr>
            <w:tcW w:w="0" w:type="auto"/>
            <w:tcBorders>
              <w:top w:val="nil"/>
              <w:left w:val="nil"/>
              <w:bottom w:val="nil"/>
              <w:right w:val="nil"/>
            </w:tcBorders>
            <w:shd w:val="clear" w:color="FFFF00" w:fill="FFFF00"/>
            <w:noWrap/>
            <w:vAlign w:val="bottom"/>
            <w:hideMark/>
          </w:tcPr>
          <w:p w14:paraId="5330FCB2" w14:textId="40EFDC75" w:rsidR="002204E9" w:rsidRPr="002204E9" w:rsidRDefault="002204E9" w:rsidP="002204E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95B2DDB" w14:textId="77777777" w:rsidR="002204E9" w:rsidRPr="002204E9" w:rsidRDefault="002204E9" w:rsidP="002204E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59FAE154" w14:textId="77777777" w:rsidR="002204E9" w:rsidRPr="002204E9" w:rsidRDefault="002204E9" w:rsidP="002204E9">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8A34B41" w14:textId="76BB197C" w:rsidR="002204E9" w:rsidRPr="002204E9" w:rsidRDefault="002204E9" w:rsidP="002204E9">
            <w:pPr>
              <w:spacing w:after="0" w:line="240" w:lineRule="auto"/>
              <w:jc w:val="right"/>
              <w:rPr>
                <w:rFonts w:cs="Arial"/>
                <w:sz w:val="20"/>
              </w:rPr>
            </w:pPr>
            <w:r w:rsidRPr="002204E9">
              <w:rPr>
                <w:rFonts w:cs="Arial"/>
                <w:sz w:val="20"/>
              </w:rPr>
              <w:t>2010</w:t>
            </w:r>
          </w:p>
        </w:tc>
        <w:tc>
          <w:tcPr>
            <w:tcW w:w="0" w:type="auto"/>
            <w:tcBorders>
              <w:top w:val="nil"/>
              <w:left w:val="nil"/>
              <w:bottom w:val="nil"/>
              <w:right w:val="nil"/>
            </w:tcBorders>
            <w:shd w:val="clear" w:color="auto" w:fill="auto"/>
            <w:noWrap/>
            <w:vAlign w:val="bottom"/>
            <w:hideMark/>
          </w:tcPr>
          <w:p w14:paraId="7B8ABA20" w14:textId="7D71A936" w:rsidR="002204E9" w:rsidRPr="002204E9" w:rsidRDefault="002204E9" w:rsidP="002204E9">
            <w:pPr>
              <w:spacing w:after="0" w:line="240" w:lineRule="auto"/>
              <w:jc w:val="right"/>
              <w:rPr>
                <w:rFonts w:cs="Arial"/>
                <w:sz w:val="20"/>
              </w:rPr>
            </w:pPr>
            <w:r w:rsidRPr="002204E9">
              <w:rPr>
                <w:rFonts w:cs="Arial"/>
                <w:sz w:val="20"/>
              </w:rPr>
              <w:t>2011</w:t>
            </w:r>
          </w:p>
        </w:tc>
        <w:tc>
          <w:tcPr>
            <w:tcW w:w="0" w:type="auto"/>
            <w:tcBorders>
              <w:top w:val="nil"/>
              <w:left w:val="nil"/>
              <w:bottom w:val="nil"/>
              <w:right w:val="nil"/>
            </w:tcBorders>
            <w:shd w:val="clear" w:color="auto" w:fill="auto"/>
            <w:noWrap/>
            <w:vAlign w:val="bottom"/>
            <w:hideMark/>
          </w:tcPr>
          <w:p w14:paraId="141362B3" w14:textId="7DA88F4A" w:rsidR="002204E9" w:rsidRPr="002204E9" w:rsidRDefault="002204E9" w:rsidP="002204E9">
            <w:pPr>
              <w:spacing w:after="0" w:line="240" w:lineRule="auto"/>
              <w:jc w:val="right"/>
              <w:rPr>
                <w:rFonts w:cs="Arial"/>
                <w:sz w:val="20"/>
              </w:rPr>
            </w:pPr>
            <w:r w:rsidRPr="002204E9">
              <w:rPr>
                <w:rFonts w:cs="Arial"/>
                <w:sz w:val="20"/>
              </w:rPr>
              <w:t>2012</w:t>
            </w:r>
          </w:p>
        </w:tc>
        <w:tc>
          <w:tcPr>
            <w:tcW w:w="0" w:type="auto"/>
            <w:tcBorders>
              <w:top w:val="nil"/>
              <w:left w:val="nil"/>
              <w:bottom w:val="nil"/>
              <w:right w:val="nil"/>
            </w:tcBorders>
            <w:shd w:val="clear" w:color="auto" w:fill="auto"/>
            <w:noWrap/>
            <w:vAlign w:val="bottom"/>
            <w:hideMark/>
          </w:tcPr>
          <w:p w14:paraId="46BE3748" w14:textId="1EF796B4" w:rsidR="002204E9" w:rsidRPr="002204E9" w:rsidRDefault="002204E9" w:rsidP="002204E9">
            <w:pPr>
              <w:spacing w:after="0" w:line="240" w:lineRule="auto"/>
              <w:jc w:val="right"/>
              <w:rPr>
                <w:rFonts w:cs="Arial"/>
                <w:sz w:val="20"/>
              </w:rPr>
            </w:pPr>
            <w:r w:rsidRPr="002204E9">
              <w:rPr>
                <w:rFonts w:cs="Arial"/>
                <w:sz w:val="20"/>
              </w:rPr>
              <w:t>2013</w:t>
            </w:r>
          </w:p>
        </w:tc>
        <w:tc>
          <w:tcPr>
            <w:tcW w:w="0" w:type="auto"/>
            <w:tcBorders>
              <w:top w:val="nil"/>
              <w:left w:val="nil"/>
              <w:bottom w:val="nil"/>
              <w:right w:val="nil"/>
            </w:tcBorders>
            <w:shd w:val="clear" w:color="auto" w:fill="auto"/>
            <w:noWrap/>
            <w:vAlign w:val="bottom"/>
            <w:hideMark/>
          </w:tcPr>
          <w:p w14:paraId="0A5B9F39" w14:textId="6227C79D" w:rsidR="002204E9" w:rsidRPr="002204E9" w:rsidRDefault="002204E9" w:rsidP="002204E9">
            <w:pPr>
              <w:spacing w:after="0" w:line="240" w:lineRule="auto"/>
              <w:jc w:val="right"/>
              <w:rPr>
                <w:rFonts w:cs="Arial"/>
                <w:sz w:val="20"/>
              </w:rPr>
            </w:pPr>
            <w:r w:rsidRPr="002204E9">
              <w:rPr>
                <w:rFonts w:cs="Arial"/>
                <w:sz w:val="20"/>
              </w:rPr>
              <w:t>2014</w:t>
            </w:r>
          </w:p>
        </w:tc>
        <w:tc>
          <w:tcPr>
            <w:tcW w:w="0" w:type="auto"/>
            <w:tcBorders>
              <w:top w:val="nil"/>
              <w:left w:val="nil"/>
              <w:bottom w:val="nil"/>
              <w:right w:val="nil"/>
            </w:tcBorders>
            <w:shd w:val="clear" w:color="auto" w:fill="auto"/>
            <w:noWrap/>
            <w:vAlign w:val="bottom"/>
            <w:hideMark/>
          </w:tcPr>
          <w:p w14:paraId="77F80DEB" w14:textId="383484F4" w:rsidR="002204E9" w:rsidRPr="002204E9" w:rsidRDefault="002204E9" w:rsidP="002204E9">
            <w:pPr>
              <w:spacing w:after="0" w:line="240" w:lineRule="auto"/>
              <w:jc w:val="right"/>
              <w:rPr>
                <w:rFonts w:cs="Arial"/>
                <w:sz w:val="20"/>
              </w:rPr>
            </w:pPr>
            <w:r w:rsidRPr="002204E9">
              <w:rPr>
                <w:rFonts w:cs="Arial"/>
                <w:sz w:val="20"/>
              </w:rPr>
              <w:t>2015</w:t>
            </w:r>
          </w:p>
        </w:tc>
        <w:tc>
          <w:tcPr>
            <w:tcW w:w="0" w:type="auto"/>
            <w:tcBorders>
              <w:top w:val="nil"/>
              <w:left w:val="nil"/>
              <w:bottom w:val="nil"/>
              <w:right w:val="nil"/>
            </w:tcBorders>
            <w:shd w:val="clear" w:color="auto" w:fill="auto"/>
            <w:noWrap/>
            <w:vAlign w:val="bottom"/>
            <w:hideMark/>
          </w:tcPr>
          <w:p w14:paraId="023AE3C4" w14:textId="56618230" w:rsidR="002204E9" w:rsidRPr="002204E9" w:rsidRDefault="002204E9" w:rsidP="002204E9">
            <w:pPr>
              <w:spacing w:after="0" w:line="240" w:lineRule="auto"/>
              <w:jc w:val="right"/>
              <w:rPr>
                <w:rFonts w:cs="Arial"/>
                <w:sz w:val="20"/>
              </w:rPr>
            </w:pPr>
            <w:r w:rsidRPr="002204E9">
              <w:rPr>
                <w:rFonts w:cs="Arial"/>
                <w:sz w:val="20"/>
              </w:rPr>
              <w:t>2016</w:t>
            </w:r>
          </w:p>
        </w:tc>
        <w:tc>
          <w:tcPr>
            <w:tcW w:w="0" w:type="auto"/>
            <w:tcBorders>
              <w:top w:val="nil"/>
              <w:left w:val="nil"/>
              <w:bottom w:val="nil"/>
              <w:right w:val="nil"/>
            </w:tcBorders>
            <w:shd w:val="clear" w:color="auto" w:fill="auto"/>
            <w:noWrap/>
            <w:vAlign w:val="bottom"/>
            <w:hideMark/>
          </w:tcPr>
          <w:p w14:paraId="28407F31" w14:textId="77777777" w:rsidR="002204E9" w:rsidRPr="002204E9" w:rsidRDefault="002204E9" w:rsidP="002204E9">
            <w:pPr>
              <w:spacing w:after="0" w:line="240" w:lineRule="auto"/>
              <w:jc w:val="right"/>
              <w:rPr>
                <w:rFonts w:cs="Arial"/>
                <w:sz w:val="20"/>
              </w:rPr>
            </w:pPr>
            <w:r w:rsidRPr="002204E9">
              <w:rPr>
                <w:rFonts w:cs="Arial"/>
                <w:sz w:val="20"/>
              </w:rPr>
              <w:t>2017</w:t>
            </w:r>
          </w:p>
        </w:tc>
        <w:tc>
          <w:tcPr>
            <w:tcW w:w="0" w:type="auto"/>
            <w:tcBorders>
              <w:top w:val="nil"/>
              <w:left w:val="nil"/>
              <w:bottom w:val="nil"/>
              <w:right w:val="nil"/>
            </w:tcBorders>
            <w:shd w:val="clear" w:color="auto" w:fill="auto"/>
            <w:noWrap/>
            <w:vAlign w:val="bottom"/>
            <w:hideMark/>
          </w:tcPr>
          <w:p w14:paraId="4D5C3BFE" w14:textId="77777777" w:rsidR="002204E9" w:rsidRPr="002204E9" w:rsidRDefault="002204E9" w:rsidP="002204E9">
            <w:pPr>
              <w:spacing w:after="0" w:line="240" w:lineRule="auto"/>
              <w:jc w:val="right"/>
              <w:rPr>
                <w:rFonts w:cs="Arial"/>
                <w:sz w:val="20"/>
              </w:rPr>
            </w:pPr>
            <w:r w:rsidRPr="002204E9">
              <w:rPr>
                <w:rFonts w:cs="Arial"/>
                <w:sz w:val="20"/>
              </w:rPr>
              <w:t>2018</w:t>
            </w:r>
          </w:p>
        </w:tc>
        <w:tc>
          <w:tcPr>
            <w:tcW w:w="0" w:type="auto"/>
            <w:tcBorders>
              <w:top w:val="nil"/>
              <w:left w:val="nil"/>
              <w:bottom w:val="nil"/>
              <w:right w:val="nil"/>
            </w:tcBorders>
            <w:shd w:val="clear" w:color="auto" w:fill="auto"/>
            <w:noWrap/>
            <w:vAlign w:val="bottom"/>
            <w:hideMark/>
          </w:tcPr>
          <w:p w14:paraId="66764ACD" w14:textId="77777777" w:rsidR="002204E9" w:rsidRPr="002204E9" w:rsidRDefault="002204E9" w:rsidP="002204E9">
            <w:pPr>
              <w:spacing w:after="0" w:line="240" w:lineRule="auto"/>
              <w:jc w:val="right"/>
              <w:rPr>
                <w:rFonts w:cs="Arial"/>
                <w:sz w:val="20"/>
              </w:rPr>
            </w:pPr>
            <w:r w:rsidRPr="002204E9">
              <w:rPr>
                <w:rFonts w:cs="Arial"/>
                <w:sz w:val="20"/>
              </w:rPr>
              <w:t>2019</w:t>
            </w:r>
          </w:p>
        </w:tc>
        <w:tc>
          <w:tcPr>
            <w:tcW w:w="0" w:type="auto"/>
            <w:tcBorders>
              <w:top w:val="nil"/>
              <w:left w:val="nil"/>
              <w:bottom w:val="nil"/>
              <w:right w:val="nil"/>
            </w:tcBorders>
            <w:shd w:val="clear" w:color="auto" w:fill="auto"/>
            <w:noWrap/>
            <w:vAlign w:val="bottom"/>
            <w:hideMark/>
          </w:tcPr>
          <w:p w14:paraId="632077E8" w14:textId="77777777" w:rsidR="002204E9" w:rsidRPr="002204E9" w:rsidRDefault="002204E9" w:rsidP="002204E9">
            <w:pPr>
              <w:spacing w:after="0" w:line="240" w:lineRule="auto"/>
              <w:jc w:val="right"/>
              <w:rPr>
                <w:rFonts w:cs="Arial"/>
                <w:sz w:val="20"/>
              </w:rPr>
            </w:pPr>
            <w:r w:rsidRPr="002204E9">
              <w:rPr>
                <w:rFonts w:cs="Arial"/>
                <w:sz w:val="20"/>
              </w:rPr>
              <w:t>2020</w:t>
            </w:r>
          </w:p>
        </w:tc>
      </w:tr>
      <w:tr w:rsidR="002204E9" w:rsidRPr="002204E9" w14:paraId="718FF618" w14:textId="77777777" w:rsidTr="002204E9">
        <w:trPr>
          <w:trHeight w:val="255"/>
        </w:trPr>
        <w:tc>
          <w:tcPr>
            <w:tcW w:w="0" w:type="auto"/>
            <w:tcBorders>
              <w:top w:val="nil"/>
              <w:left w:val="nil"/>
              <w:bottom w:val="nil"/>
              <w:right w:val="nil"/>
            </w:tcBorders>
            <w:shd w:val="clear" w:color="auto" w:fill="auto"/>
            <w:vAlign w:val="bottom"/>
            <w:hideMark/>
          </w:tcPr>
          <w:p w14:paraId="2512CA71" w14:textId="77777777" w:rsidR="002204E9" w:rsidRPr="002204E9" w:rsidRDefault="002204E9" w:rsidP="002204E9">
            <w:pPr>
              <w:spacing w:after="0" w:line="240" w:lineRule="auto"/>
              <w:rPr>
                <w:rFonts w:cs="Arial"/>
                <w:sz w:val="20"/>
              </w:rPr>
            </w:pPr>
            <w:r w:rsidRPr="002204E9">
              <w:rPr>
                <w:rFonts w:cs="Arial"/>
                <w:sz w:val="20"/>
              </w:rPr>
              <w:t>Full time TVIs</w:t>
            </w:r>
          </w:p>
        </w:tc>
        <w:tc>
          <w:tcPr>
            <w:tcW w:w="0" w:type="auto"/>
            <w:tcBorders>
              <w:top w:val="nil"/>
              <w:left w:val="nil"/>
              <w:bottom w:val="nil"/>
              <w:right w:val="nil"/>
            </w:tcBorders>
            <w:shd w:val="clear" w:color="auto" w:fill="auto"/>
            <w:noWrap/>
            <w:vAlign w:val="bottom"/>
            <w:hideMark/>
          </w:tcPr>
          <w:p w14:paraId="5CED0AF8" w14:textId="77777777" w:rsidR="002204E9" w:rsidRPr="002204E9" w:rsidRDefault="002204E9" w:rsidP="002204E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CCAB599" w14:textId="77777777" w:rsidR="002204E9" w:rsidRPr="002204E9" w:rsidRDefault="002204E9" w:rsidP="002204E9">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7A55877" w14:textId="77777777" w:rsidR="002204E9" w:rsidRPr="002204E9" w:rsidRDefault="002204E9" w:rsidP="002204E9">
            <w:pPr>
              <w:spacing w:after="0" w:line="240" w:lineRule="auto"/>
              <w:jc w:val="right"/>
              <w:rPr>
                <w:rFonts w:cs="Arial"/>
                <w:sz w:val="20"/>
              </w:rPr>
            </w:pPr>
            <w:r w:rsidRPr="002204E9">
              <w:rPr>
                <w:rFonts w:cs="Arial"/>
                <w:sz w:val="20"/>
              </w:rPr>
              <w:t>523</w:t>
            </w:r>
          </w:p>
        </w:tc>
        <w:tc>
          <w:tcPr>
            <w:tcW w:w="0" w:type="auto"/>
            <w:tcBorders>
              <w:top w:val="nil"/>
              <w:left w:val="nil"/>
              <w:bottom w:val="nil"/>
              <w:right w:val="nil"/>
            </w:tcBorders>
            <w:shd w:val="clear" w:color="auto" w:fill="auto"/>
            <w:noWrap/>
            <w:vAlign w:val="bottom"/>
            <w:hideMark/>
          </w:tcPr>
          <w:p w14:paraId="7D3FBBAC" w14:textId="77777777" w:rsidR="002204E9" w:rsidRPr="002204E9" w:rsidRDefault="002204E9" w:rsidP="002204E9">
            <w:pPr>
              <w:spacing w:after="0" w:line="240" w:lineRule="auto"/>
              <w:jc w:val="right"/>
              <w:rPr>
                <w:rFonts w:cs="Arial"/>
                <w:sz w:val="20"/>
              </w:rPr>
            </w:pPr>
            <w:r w:rsidRPr="002204E9">
              <w:rPr>
                <w:rFonts w:cs="Arial"/>
                <w:sz w:val="20"/>
              </w:rPr>
              <w:t>522</w:t>
            </w:r>
          </w:p>
        </w:tc>
        <w:tc>
          <w:tcPr>
            <w:tcW w:w="0" w:type="auto"/>
            <w:tcBorders>
              <w:top w:val="nil"/>
              <w:left w:val="nil"/>
              <w:bottom w:val="nil"/>
              <w:right w:val="nil"/>
            </w:tcBorders>
            <w:shd w:val="clear" w:color="auto" w:fill="auto"/>
            <w:noWrap/>
            <w:vAlign w:val="bottom"/>
            <w:hideMark/>
          </w:tcPr>
          <w:p w14:paraId="110FABA6" w14:textId="77777777" w:rsidR="002204E9" w:rsidRPr="002204E9" w:rsidRDefault="002204E9" w:rsidP="002204E9">
            <w:pPr>
              <w:spacing w:after="0" w:line="240" w:lineRule="auto"/>
              <w:jc w:val="right"/>
              <w:rPr>
                <w:rFonts w:cs="Arial"/>
                <w:sz w:val="20"/>
              </w:rPr>
            </w:pPr>
            <w:r w:rsidRPr="002204E9">
              <w:rPr>
                <w:rFonts w:cs="Arial"/>
                <w:sz w:val="20"/>
              </w:rPr>
              <w:t>524</w:t>
            </w:r>
          </w:p>
        </w:tc>
        <w:tc>
          <w:tcPr>
            <w:tcW w:w="0" w:type="auto"/>
            <w:tcBorders>
              <w:top w:val="nil"/>
              <w:left w:val="nil"/>
              <w:bottom w:val="nil"/>
              <w:right w:val="nil"/>
            </w:tcBorders>
            <w:shd w:val="clear" w:color="auto" w:fill="auto"/>
            <w:noWrap/>
            <w:vAlign w:val="bottom"/>
            <w:hideMark/>
          </w:tcPr>
          <w:p w14:paraId="2138C404" w14:textId="77777777" w:rsidR="002204E9" w:rsidRPr="002204E9" w:rsidRDefault="002204E9" w:rsidP="002204E9">
            <w:pPr>
              <w:spacing w:after="0" w:line="240" w:lineRule="auto"/>
              <w:jc w:val="right"/>
              <w:rPr>
                <w:rFonts w:cs="Arial"/>
                <w:sz w:val="20"/>
              </w:rPr>
            </w:pPr>
            <w:r w:rsidRPr="002204E9">
              <w:rPr>
                <w:rFonts w:cs="Arial"/>
                <w:sz w:val="20"/>
              </w:rPr>
              <w:t>532</w:t>
            </w:r>
          </w:p>
        </w:tc>
        <w:tc>
          <w:tcPr>
            <w:tcW w:w="0" w:type="auto"/>
            <w:tcBorders>
              <w:top w:val="nil"/>
              <w:left w:val="nil"/>
              <w:bottom w:val="nil"/>
              <w:right w:val="nil"/>
            </w:tcBorders>
            <w:shd w:val="clear" w:color="auto" w:fill="auto"/>
            <w:noWrap/>
            <w:vAlign w:val="bottom"/>
            <w:hideMark/>
          </w:tcPr>
          <w:p w14:paraId="19C49696" w14:textId="77777777" w:rsidR="002204E9" w:rsidRPr="002204E9" w:rsidRDefault="002204E9" w:rsidP="002204E9">
            <w:pPr>
              <w:spacing w:after="0" w:line="240" w:lineRule="auto"/>
              <w:jc w:val="right"/>
              <w:rPr>
                <w:rFonts w:cs="Arial"/>
                <w:sz w:val="20"/>
              </w:rPr>
            </w:pPr>
            <w:r w:rsidRPr="002204E9">
              <w:rPr>
                <w:rFonts w:cs="Arial"/>
                <w:sz w:val="20"/>
              </w:rPr>
              <w:t>551</w:t>
            </w:r>
          </w:p>
        </w:tc>
        <w:tc>
          <w:tcPr>
            <w:tcW w:w="0" w:type="auto"/>
            <w:tcBorders>
              <w:top w:val="nil"/>
              <w:left w:val="nil"/>
              <w:bottom w:val="nil"/>
              <w:right w:val="nil"/>
            </w:tcBorders>
            <w:shd w:val="clear" w:color="auto" w:fill="auto"/>
            <w:noWrap/>
            <w:vAlign w:val="bottom"/>
            <w:hideMark/>
          </w:tcPr>
          <w:p w14:paraId="25D1B6C2" w14:textId="77777777" w:rsidR="002204E9" w:rsidRPr="002204E9" w:rsidRDefault="002204E9" w:rsidP="002204E9">
            <w:pPr>
              <w:spacing w:after="0" w:line="240" w:lineRule="auto"/>
              <w:jc w:val="right"/>
              <w:rPr>
                <w:rFonts w:cs="Arial"/>
                <w:sz w:val="20"/>
              </w:rPr>
            </w:pPr>
            <w:r w:rsidRPr="002204E9">
              <w:rPr>
                <w:rFonts w:cs="Arial"/>
                <w:sz w:val="20"/>
              </w:rPr>
              <w:t>553</w:t>
            </w:r>
          </w:p>
        </w:tc>
        <w:tc>
          <w:tcPr>
            <w:tcW w:w="0" w:type="auto"/>
            <w:tcBorders>
              <w:top w:val="nil"/>
              <w:left w:val="nil"/>
              <w:bottom w:val="nil"/>
              <w:right w:val="nil"/>
            </w:tcBorders>
            <w:shd w:val="clear" w:color="auto" w:fill="auto"/>
            <w:noWrap/>
            <w:vAlign w:val="bottom"/>
            <w:hideMark/>
          </w:tcPr>
          <w:p w14:paraId="795D0824" w14:textId="77777777" w:rsidR="002204E9" w:rsidRPr="002204E9" w:rsidRDefault="002204E9" w:rsidP="002204E9">
            <w:pPr>
              <w:spacing w:after="0" w:line="240" w:lineRule="auto"/>
              <w:jc w:val="right"/>
              <w:rPr>
                <w:rFonts w:cs="Arial"/>
                <w:sz w:val="20"/>
              </w:rPr>
            </w:pPr>
            <w:r w:rsidRPr="002204E9">
              <w:rPr>
                <w:rFonts w:cs="Arial"/>
                <w:sz w:val="20"/>
              </w:rPr>
              <w:t>529</w:t>
            </w:r>
          </w:p>
        </w:tc>
        <w:tc>
          <w:tcPr>
            <w:tcW w:w="0" w:type="auto"/>
            <w:tcBorders>
              <w:top w:val="nil"/>
              <w:left w:val="nil"/>
              <w:bottom w:val="nil"/>
              <w:right w:val="nil"/>
            </w:tcBorders>
            <w:shd w:val="clear" w:color="auto" w:fill="auto"/>
            <w:noWrap/>
            <w:vAlign w:val="bottom"/>
            <w:hideMark/>
          </w:tcPr>
          <w:p w14:paraId="010E3ADA" w14:textId="77777777" w:rsidR="002204E9" w:rsidRPr="002204E9" w:rsidRDefault="002204E9" w:rsidP="002204E9">
            <w:pPr>
              <w:spacing w:after="0" w:line="240" w:lineRule="auto"/>
              <w:jc w:val="right"/>
              <w:rPr>
                <w:rFonts w:cs="Arial"/>
                <w:sz w:val="20"/>
              </w:rPr>
            </w:pPr>
            <w:r w:rsidRPr="002204E9">
              <w:rPr>
                <w:rFonts w:cs="Arial"/>
                <w:sz w:val="20"/>
              </w:rPr>
              <w:t>537</w:t>
            </w:r>
          </w:p>
        </w:tc>
        <w:tc>
          <w:tcPr>
            <w:tcW w:w="0" w:type="auto"/>
            <w:tcBorders>
              <w:top w:val="nil"/>
              <w:left w:val="nil"/>
              <w:bottom w:val="nil"/>
              <w:right w:val="nil"/>
            </w:tcBorders>
            <w:shd w:val="clear" w:color="auto" w:fill="auto"/>
            <w:noWrap/>
            <w:vAlign w:val="bottom"/>
            <w:hideMark/>
          </w:tcPr>
          <w:p w14:paraId="19F474B8" w14:textId="77777777" w:rsidR="002204E9" w:rsidRPr="002204E9" w:rsidRDefault="002204E9" w:rsidP="002204E9">
            <w:pPr>
              <w:spacing w:after="0" w:line="240" w:lineRule="auto"/>
              <w:jc w:val="right"/>
              <w:rPr>
                <w:rFonts w:cs="Arial"/>
                <w:sz w:val="20"/>
              </w:rPr>
            </w:pPr>
            <w:r w:rsidRPr="002204E9">
              <w:rPr>
                <w:rFonts w:cs="Arial"/>
                <w:sz w:val="20"/>
              </w:rPr>
              <w:t>527</w:t>
            </w:r>
          </w:p>
        </w:tc>
        <w:tc>
          <w:tcPr>
            <w:tcW w:w="0" w:type="auto"/>
            <w:tcBorders>
              <w:top w:val="nil"/>
              <w:left w:val="nil"/>
              <w:bottom w:val="nil"/>
              <w:right w:val="nil"/>
            </w:tcBorders>
            <w:shd w:val="clear" w:color="auto" w:fill="auto"/>
            <w:noWrap/>
            <w:vAlign w:val="bottom"/>
            <w:hideMark/>
          </w:tcPr>
          <w:p w14:paraId="522E812C" w14:textId="77777777" w:rsidR="002204E9" w:rsidRPr="002204E9" w:rsidRDefault="002204E9" w:rsidP="002204E9">
            <w:pPr>
              <w:spacing w:after="0" w:line="240" w:lineRule="auto"/>
              <w:jc w:val="right"/>
              <w:rPr>
                <w:rFonts w:cs="Arial"/>
                <w:sz w:val="20"/>
              </w:rPr>
            </w:pPr>
            <w:r w:rsidRPr="002204E9">
              <w:rPr>
                <w:rFonts w:cs="Arial"/>
                <w:sz w:val="20"/>
              </w:rPr>
              <w:t>526</w:t>
            </w:r>
          </w:p>
        </w:tc>
        <w:tc>
          <w:tcPr>
            <w:tcW w:w="0" w:type="auto"/>
            <w:tcBorders>
              <w:top w:val="nil"/>
              <w:left w:val="nil"/>
              <w:bottom w:val="nil"/>
              <w:right w:val="nil"/>
            </w:tcBorders>
            <w:shd w:val="clear" w:color="auto" w:fill="auto"/>
            <w:noWrap/>
            <w:vAlign w:val="bottom"/>
            <w:hideMark/>
          </w:tcPr>
          <w:p w14:paraId="5D1E6184" w14:textId="77777777" w:rsidR="002204E9" w:rsidRPr="002204E9" w:rsidRDefault="002204E9" w:rsidP="002204E9">
            <w:pPr>
              <w:spacing w:after="0" w:line="240" w:lineRule="auto"/>
              <w:jc w:val="right"/>
              <w:rPr>
                <w:rFonts w:cs="Arial"/>
                <w:sz w:val="20"/>
              </w:rPr>
            </w:pPr>
            <w:r w:rsidRPr="002204E9">
              <w:rPr>
                <w:rFonts w:cs="Arial"/>
                <w:sz w:val="20"/>
              </w:rPr>
              <w:t>511</w:t>
            </w:r>
          </w:p>
        </w:tc>
      </w:tr>
      <w:tr w:rsidR="002204E9" w:rsidRPr="002204E9" w14:paraId="517CAFC8" w14:textId="77777777" w:rsidTr="002204E9">
        <w:trPr>
          <w:trHeight w:val="255"/>
        </w:trPr>
        <w:tc>
          <w:tcPr>
            <w:tcW w:w="0" w:type="auto"/>
            <w:tcBorders>
              <w:top w:val="nil"/>
              <w:left w:val="nil"/>
              <w:bottom w:val="nil"/>
              <w:right w:val="nil"/>
            </w:tcBorders>
            <w:shd w:val="clear" w:color="auto" w:fill="auto"/>
            <w:vAlign w:val="bottom"/>
            <w:hideMark/>
          </w:tcPr>
          <w:p w14:paraId="3AE0DB33" w14:textId="77777777" w:rsidR="002204E9" w:rsidRPr="002204E9" w:rsidRDefault="002204E9" w:rsidP="002204E9">
            <w:pPr>
              <w:spacing w:after="0" w:line="240" w:lineRule="auto"/>
              <w:rPr>
                <w:rFonts w:cs="Arial"/>
                <w:sz w:val="20"/>
              </w:rPr>
            </w:pPr>
            <w:r w:rsidRPr="002204E9">
              <w:rPr>
                <w:rFonts w:cs="Arial"/>
                <w:sz w:val="20"/>
              </w:rPr>
              <w:t>Part time TVIs</w:t>
            </w:r>
          </w:p>
        </w:tc>
        <w:tc>
          <w:tcPr>
            <w:tcW w:w="0" w:type="auto"/>
            <w:tcBorders>
              <w:top w:val="nil"/>
              <w:left w:val="nil"/>
              <w:bottom w:val="nil"/>
              <w:right w:val="nil"/>
            </w:tcBorders>
            <w:shd w:val="clear" w:color="auto" w:fill="auto"/>
            <w:noWrap/>
            <w:vAlign w:val="bottom"/>
            <w:hideMark/>
          </w:tcPr>
          <w:p w14:paraId="5F45FD55" w14:textId="77777777" w:rsidR="002204E9" w:rsidRPr="002204E9" w:rsidRDefault="002204E9" w:rsidP="002204E9">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B147C80" w14:textId="77777777" w:rsidR="002204E9" w:rsidRPr="002204E9" w:rsidRDefault="002204E9" w:rsidP="002204E9">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7BF8ED13" w14:textId="77777777" w:rsidR="002204E9" w:rsidRPr="002204E9" w:rsidRDefault="002204E9" w:rsidP="002204E9">
            <w:pPr>
              <w:spacing w:after="0" w:line="240" w:lineRule="auto"/>
              <w:jc w:val="right"/>
              <w:rPr>
                <w:rFonts w:cs="Arial"/>
                <w:sz w:val="20"/>
              </w:rPr>
            </w:pPr>
            <w:r w:rsidRPr="002204E9">
              <w:rPr>
                <w:rFonts w:cs="Arial"/>
                <w:sz w:val="20"/>
              </w:rPr>
              <w:t>168</w:t>
            </w:r>
          </w:p>
        </w:tc>
        <w:tc>
          <w:tcPr>
            <w:tcW w:w="0" w:type="auto"/>
            <w:tcBorders>
              <w:top w:val="nil"/>
              <w:left w:val="nil"/>
              <w:bottom w:val="nil"/>
              <w:right w:val="nil"/>
            </w:tcBorders>
            <w:shd w:val="clear" w:color="auto" w:fill="auto"/>
            <w:noWrap/>
            <w:vAlign w:val="bottom"/>
            <w:hideMark/>
          </w:tcPr>
          <w:p w14:paraId="17ABE30C" w14:textId="77777777" w:rsidR="002204E9" w:rsidRPr="002204E9" w:rsidRDefault="002204E9" w:rsidP="002204E9">
            <w:pPr>
              <w:spacing w:after="0" w:line="240" w:lineRule="auto"/>
              <w:jc w:val="right"/>
              <w:rPr>
                <w:rFonts w:cs="Arial"/>
                <w:sz w:val="20"/>
              </w:rPr>
            </w:pPr>
            <w:r w:rsidRPr="002204E9">
              <w:rPr>
                <w:rFonts w:cs="Arial"/>
                <w:sz w:val="20"/>
              </w:rPr>
              <w:t>171</w:t>
            </w:r>
          </w:p>
        </w:tc>
        <w:tc>
          <w:tcPr>
            <w:tcW w:w="0" w:type="auto"/>
            <w:tcBorders>
              <w:top w:val="nil"/>
              <w:left w:val="nil"/>
              <w:bottom w:val="nil"/>
              <w:right w:val="nil"/>
            </w:tcBorders>
            <w:shd w:val="clear" w:color="auto" w:fill="auto"/>
            <w:noWrap/>
            <w:vAlign w:val="bottom"/>
            <w:hideMark/>
          </w:tcPr>
          <w:p w14:paraId="383201A0" w14:textId="77777777" w:rsidR="002204E9" w:rsidRPr="002204E9" w:rsidRDefault="002204E9" w:rsidP="002204E9">
            <w:pPr>
              <w:spacing w:after="0" w:line="240" w:lineRule="auto"/>
              <w:jc w:val="right"/>
              <w:rPr>
                <w:rFonts w:cs="Arial"/>
                <w:sz w:val="20"/>
              </w:rPr>
            </w:pPr>
            <w:r w:rsidRPr="002204E9">
              <w:rPr>
                <w:rFonts w:cs="Arial"/>
                <w:sz w:val="20"/>
              </w:rPr>
              <w:t>175</w:t>
            </w:r>
          </w:p>
        </w:tc>
        <w:tc>
          <w:tcPr>
            <w:tcW w:w="0" w:type="auto"/>
            <w:tcBorders>
              <w:top w:val="nil"/>
              <w:left w:val="nil"/>
              <w:bottom w:val="nil"/>
              <w:right w:val="nil"/>
            </w:tcBorders>
            <w:shd w:val="clear" w:color="auto" w:fill="auto"/>
            <w:noWrap/>
            <w:vAlign w:val="bottom"/>
            <w:hideMark/>
          </w:tcPr>
          <w:p w14:paraId="71752ECA" w14:textId="77777777" w:rsidR="002204E9" w:rsidRPr="002204E9" w:rsidRDefault="002204E9" w:rsidP="002204E9">
            <w:pPr>
              <w:spacing w:after="0" w:line="240" w:lineRule="auto"/>
              <w:jc w:val="right"/>
              <w:rPr>
                <w:rFonts w:cs="Arial"/>
                <w:sz w:val="20"/>
              </w:rPr>
            </w:pPr>
            <w:r w:rsidRPr="002204E9">
              <w:rPr>
                <w:rFonts w:cs="Arial"/>
                <w:sz w:val="20"/>
              </w:rPr>
              <w:t>165</w:t>
            </w:r>
          </w:p>
        </w:tc>
        <w:tc>
          <w:tcPr>
            <w:tcW w:w="0" w:type="auto"/>
            <w:tcBorders>
              <w:top w:val="nil"/>
              <w:left w:val="nil"/>
              <w:bottom w:val="nil"/>
              <w:right w:val="nil"/>
            </w:tcBorders>
            <w:shd w:val="clear" w:color="auto" w:fill="auto"/>
            <w:noWrap/>
            <w:vAlign w:val="bottom"/>
            <w:hideMark/>
          </w:tcPr>
          <w:p w14:paraId="3790E927" w14:textId="77777777" w:rsidR="002204E9" w:rsidRPr="002204E9" w:rsidRDefault="002204E9" w:rsidP="002204E9">
            <w:pPr>
              <w:spacing w:after="0" w:line="240" w:lineRule="auto"/>
              <w:jc w:val="right"/>
              <w:rPr>
                <w:rFonts w:cs="Arial"/>
                <w:sz w:val="20"/>
              </w:rPr>
            </w:pPr>
            <w:r w:rsidRPr="002204E9">
              <w:rPr>
                <w:rFonts w:cs="Arial"/>
                <w:sz w:val="20"/>
              </w:rPr>
              <w:t>157</w:t>
            </w:r>
          </w:p>
        </w:tc>
        <w:tc>
          <w:tcPr>
            <w:tcW w:w="0" w:type="auto"/>
            <w:tcBorders>
              <w:top w:val="nil"/>
              <w:left w:val="nil"/>
              <w:bottom w:val="nil"/>
              <w:right w:val="nil"/>
            </w:tcBorders>
            <w:shd w:val="clear" w:color="auto" w:fill="auto"/>
            <w:noWrap/>
            <w:vAlign w:val="bottom"/>
            <w:hideMark/>
          </w:tcPr>
          <w:p w14:paraId="4D4D5B0D" w14:textId="77777777" w:rsidR="002204E9" w:rsidRPr="002204E9" w:rsidRDefault="002204E9" w:rsidP="002204E9">
            <w:pPr>
              <w:spacing w:after="0" w:line="240" w:lineRule="auto"/>
              <w:jc w:val="right"/>
              <w:rPr>
                <w:rFonts w:cs="Arial"/>
                <w:sz w:val="20"/>
              </w:rPr>
            </w:pPr>
            <w:r w:rsidRPr="002204E9">
              <w:rPr>
                <w:rFonts w:cs="Arial"/>
                <w:sz w:val="20"/>
              </w:rPr>
              <w:t>139</w:t>
            </w:r>
          </w:p>
        </w:tc>
        <w:tc>
          <w:tcPr>
            <w:tcW w:w="0" w:type="auto"/>
            <w:tcBorders>
              <w:top w:val="nil"/>
              <w:left w:val="nil"/>
              <w:bottom w:val="nil"/>
              <w:right w:val="nil"/>
            </w:tcBorders>
            <w:shd w:val="clear" w:color="auto" w:fill="auto"/>
            <w:noWrap/>
            <w:vAlign w:val="bottom"/>
            <w:hideMark/>
          </w:tcPr>
          <w:p w14:paraId="2BAAF26B" w14:textId="77777777" w:rsidR="002204E9" w:rsidRPr="002204E9" w:rsidRDefault="002204E9" w:rsidP="002204E9">
            <w:pPr>
              <w:spacing w:after="0" w:line="240" w:lineRule="auto"/>
              <w:jc w:val="right"/>
              <w:rPr>
                <w:rFonts w:cs="Arial"/>
                <w:sz w:val="20"/>
              </w:rPr>
            </w:pPr>
            <w:r w:rsidRPr="002204E9">
              <w:rPr>
                <w:rFonts w:cs="Arial"/>
                <w:sz w:val="20"/>
              </w:rPr>
              <w:t>158</w:t>
            </w:r>
          </w:p>
        </w:tc>
        <w:tc>
          <w:tcPr>
            <w:tcW w:w="0" w:type="auto"/>
            <w:tcBorders>
              <w:top w:val="nil"/>
              <w:left w:val="nil"/>
              <w:bottom w:val="nil"/>
              <w:right w:val="nil"/>
            </w:tcBorders>
            <w:shd w:val="clear" w:color="auto" w:fill="auto"/>
            <w:noWrap/>
            <w:vAlign w:val="bottom"/>
            <w:hideMark/>
          </w:tcPr>
          <w:p w14:paraId="5822AD8A" w14:textId="77777777" w:rsidR="002204E9" w:rsidRPr="002204E9" w:rsidRDefault="002204E9" w:rsidP="002204E9">
            <w:pPr>
              <w:spacing w:after="0" w:line="240" w:lineRule="auto"/>
              <w:jc w:val="right"/>
              <w:rPr>
                <w:rFonts w:cs="Arial"/>
                <w:sz w:val="20"/>
              </w:rPr>
            </w:pPr>
            <w:r w:rsidRPr="002204E9">
              <w:rPr>
                <w:rFonts w:cs="Arial"/>
                <w:sz w:val="20"/>
              </w:rPr>
              <w:t>144</w:t>
            </w:r>
          </w:p>
        </w:tc>
        <w:tc>
          <w:tcPr>
            <w:tcW w:w="0" w:type="auto"/>
            <w:tcBorders>
              <w:top w:val="nil"/>
              <w:left w:val="nil"/>
              <w:bottom w:val="nil"/>
              <w:right w:val="nil"/>
            </w:tcBorders>
            <w:shd w:val="clear" w:color="auto" w:fill="auto"/>
            <w:noWrap/>
            <w:vAlign w:val="bottom"/>
            <w:hideMark/>
          </w:tcPr>
          <w:p w14:paraId="45686997" w14:textId="77777777" w:rsidR="002204E9" w:rsidRPr="002204E9" w:rsidRDefault="002204E9" w:rsidP="002204E9">
            <w:pPr>
              <w:spacing w:after="0" w:line="240" w:lineRule="auto"/>
              <w:jc w:val="right"/>
              <w:rPr>
                <w:rFonts w:cs="Arial"/>
                <w:sz w:val="20"/>
              </w:rPr>
            </w:pPr>
            <w:r w:rsidRPr="002204E9">
              <w:rPr>
                <w:rFonts w:cs="Arial"/>
                <w:sz w:val="20"/>
              </w:rPr>
              <w:t>154</w:t>
            </w:r>
          </w:p>
        </w:tc>
        <w:tc>
          <w:tcPr>
            <w:tcW w:w="0" w:type="auto"/>
            <w:tcBorders>
              <w:top w:val="nil"/>
              <w:left w:val="nil"/>
              <w:bottom w:val="nil"/>
              <w:right w:val="nil"/>
            </w:tcBorders>
            <w:shd w:val="clear" w:color="auto" w:fill="auto"/>
            <w:noWrap/>
            <w:vAlign w:val="bottom"/>
            <w:hideMark/>
          </w:tcPr>
          <w:p w14:paraId="51A79341" w14:textId="77777777" w:rsidR="002204E9" w:rsidRPr="002204E9" w:rsidRDefault="002204E9" w:rsidP="002204E9">
            <w:pPr>
              <w:spacing w:after="0" w:line="240" w:lineRule="auto"/>
              <w:jc w:val="right"/>
              <w:rPr>
                <w:rFonts w:cs="Arial"/>
                <w:sz w:val="20"/>
              </w:rPr>
            </w:pPr>
            <w:r w:rsidRPr="002204E9">
              <w:rPr>
                <w:rFonts w:cs="Arial"/>
                <w:sz w:val="20"/>
              </w:rPr>
              <w:t>168</w:t>
            </w:r>
          </w:p>
        </w:tc>
        <w:tc>
          <w:tcPr>
            <w:tcW w:w="0" w:type="auto"/>
            <w:tcBorders>
              <w:top w:val="nil"/>
              <w:left w:val="nil"/>
              <w:bottom w:val="nil"/>
              <w:right w:val="nil"/>
            </w:tcBorders>
            <w:shd w:val="clear" w:color="auto" w:fill="auto"/>
            <w:noWrap/>
            <w:vAlign w:val="bottom"/>
            <w:hideMark/>
          </w:tcPr>
          <w:p w14:paraId="24C916CE" w14:textId="77777777" w:rsidR="002204E9" w:rsidRPr="002204E9" w:rsidRDefault="002204E9" w:rsidP="002204E9">
            <w:pPr>
              <w:spacing w:after="0" w:line="240" w:lineRule="auto"/>
              <w:jc w:val="right"/>
              <w:rPr>
                <w:rFonts w:cs="Arial"/>
                <w:sz w:val="20"/>
              </w:rPr>
            </w:pPr>
            <w:r w:rsidRPr="002204E9">
              <w:rPr>
                <w:rFonts w:cs="Arial"/>
                <w:sz w:val="20"/>
              </w:rPr>
              <w:t>158</w:t>
            </w:r>
          </w:p>
        </w:tc>
      </w:tr>
    </w:tbl>
    <w:p w14:paraId="2B7A956C" w14:textId="5AA90197" w:rsidR="00570B29" w:rsidRDefault="00570B29" w:rsidP="00570B29"/>
    <w:p w14:paraId="3B238076" w14:textId="132B1F5C" w:rsidR="00570B29" w:rsidRPr="00570B29" w:rsidRDefault="00570B29" w:rsidP="00570B29"/>
    <w:p w14:paraId="730BF639" w14:textId="77777777" w:rsidR="002204E9" w:rsidRDefault="002204E9" w:rsidP="005B2584">
      <w:pPr>
        <w:pStyle w:val="Heading3"/>
      </w:pPr>
    </w:p>
    <w:p w14:paraId="7E0C6947" w14:textId="70197675" w:rsidR="005B2584" w:rsidRPr="00C64973" w:rsidRDefault="005B2584" w:rsidP="005B2584">
      <w:pPr>
        <w:pStyle w:val="Heading3"/>
      </w:pPr>
      <w:r w:rsidRPr="00C64973">
        <w:t xml:space="preserve">Table </w:t>
      </w:r>
      <w:r w:rsidRPr="00C64973">
        <w:rPr>
          <w:noProof/>
        </w:rPr>
        <w:t>3</w:t>
      </w:r>
      <w:r w:rsidRPr="00C64973">
        <w:t>: Direct-Service Providers: Orientation and Mobility Specialists (</w:t>
      </w:r>
      <w:r w:rsidR="00D574E5">
        <w:t>COMS</w:t>
      </w:r>
      <w:r w:rsidRPr="00C64973">
        <w:t>)</w:t>
      </w:r>
    </w:p>
    <w:tbl>
      <w:tblPr>
        <w:tblW w:w="489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82"/>
        <w:gridCol w:w="1605"/>
        <w:gridCol w:w="882"/>
        <w:gridCol w:w="1587"/>
        <w:gridCol w:w="969"/>
        <w:gridCol w:w="1587"/>
        <w:gridCol w:w="1056"/>
      </w:tblGrid>
      <w:tr w:rsidR="005B2584" w:rsidRPr="00C64973" w14:paraId="1045E569" w14:textId="77777777" w:rsidTr="006F3AF6">
        <w:trPr>
          <w:cantSplit/>
          <w:tblHeader/>
        </w:trPr>
        <w:tc>
          <w:tcPr>
            <w:tcW w:w="1106" w:type="pct"/>
            <w:tcBorders>
              <w:top w:val="nil"/>
              <w:left w:val="nil"/>
              <w:bottom w:val="nil"/>
              <w:right w:val="nil"/>
            </w:tcBorders>
          </w:tcPr>
          <w:p w14:paraId="3D2FB55D" w14:textId="290A9FCC" w:rsidR="005B2584" w:rsidRPr="00C64973" w:rsidRDefault="005B2584" w:rsidP="00E51125">
            <w:pPr>
              <w:pStyle w:val="Heading4"/>
            </w:pPr>
          </w:p>
        </w:tc>
        <w:tc>
          <w:tcPr>
            <w:tcW w:w="1260" w:type="pct"/>
            <w:gridSpan w:val="2"/>
            <w:tcBorders>
              <w:top w:val="nil"/>
              <w:left w:val="nil"/>
              <w:right w:val="nil"/>
            </w:tcBorders>
          </w:tcPr>
          <w:p w14:paraId="6A4D9244" w14:textId="2C2FC456" w:rsidR="005B2584" w:rsidRPr="00C64973" w:rsidRDefault="00491401" w:rsidP="00D42724">
            <w:pPr>
              <w:jc w:val="center"/>
              <w:rPr>
                <w:b/>
              </w:rPr>
            </w:pPr>
            <w:r w:rsidRPr="00C64973">
              <w:rPr>
                <w:b/>
              </w:rPr>
              <w:t>2018</w:t>
            </w:r>
          </w:p>
        </w:tc>
        <w:tc>
          <w:tcPr>
            <w:tcW w:w="1295" w:type="pct"/>
            <w:gridSpan w:val="2"/>
            <w:tcBorders>
              <w:top w:val="nil"/>
              <w:left w:val="nil"/>
              <w:right w:val="nil"/>
            </w:tcBorders>
          </w:tcPr>
          <w:p w14:paraId="3CF1209B" w14:textId="18812110" w:rsidR="005B2584" w:rsidRPr="00C64973" w:rsidRDefault="00491401" w:rsidP="00D42724">
            <w:pPr>
              <w:jc w:val="center"/>
              <w:rPr>
                <w:b/>
              </w:rPr>
            </w:pPr>
            <w:r w:rsidRPr="00C64973">
              <w:rPr>
                <w:b/>
              </w:rPr>
              <w:t>2019</w:t>
            </w:r>
          </w:p>
        </w:tc>
        <w:tc>
          <w:tcPr>
            <w:tcW w:w="1339" w:type="pct"/>
            <w:gridSpan w:val="2"/>
            <w:tcBorders>
              <w:top w:val="nil"/>
              <w:left w:val="nil"/>
              <w:right w:val="nil"/>
            </w:tcBorders>
          </w:tcPr>
          <w:p w14:paraId="097CB55A" w14:textId="527AAC44" w:rsidR="005B2584" w:rsidRPr="00C64973" w:rsidRDefault="00491401" w:rsidP="00D42724">
            <w:pPr>
              <w:jc w:val="center"/>
              <w:rPr>
                <w:b/>
              </w:rPr>
            </w:pPr>
            <w:r w:rsidRPr="00C64973">
              <w:rPr>
                <w:b/>
              </w:rPr>
              <w:t>2020</w:t>
            </w:r>
          </w:p>
        </w:tc>
      </w:tr>
      <w:tr w:rsidR="005B2584" w:rsidRPr="00C64973" w14:paraId="68D7A2E9" w14:textId="77777777" w:rsidTr="006F3AF6">
        <w:trPr>
          <w:cantSplit/>
        </w:trPr>
        <w:tc>
          <w:tcPr>
            <w:tcW w:w="1106" w:type="pct"/>
            <w:tcBorders>
              <w:top w:val="nil"/>
              <w:left w:val="nil"/>
            </w:tcBorders>
          </w:tcPr>
          <w:p w14:paraId="647EAAF5" w14:textId="77777777" w:rsidR="005B2584" w:rsidRPr="00C64973" w:rsidRDefault="005B2584" w:rsidP="00E51125">
            <w:pPr>
              <w:spacing w:after="0" w:line="288" w:lineRule="auto"/>
            </w:pPr>
          </w:p>
        </w:tc>
        <w:tc>
          <w:tcPr>
            <w:tcW w:w="813" w:type="pct"/>
          </w:tcPr>
          <w:p w14:paraId="6A717396" w14:textId="22574DE0" w:rsidR="005B2584" w:rsidRPr="00C64973" w:rsidRDefault="005B2584" w:rsidP="00E51125">
            <w:pPr>
              <w:spacing w:after="0" w:line="288" w:lineRule="auto"/>
              <w:jc w:val="center"/>
              <w:rPr>
                <w:b/>
                <w:bCs/>
              </w:rPr>
            </w:pPr>
            <w:r w:rsidRPr="00C64973">
              <w:rPr>
                <w:b/>
                <w:bCs/>
              </w:rPr>
              <w:t>Individuals</w:t>
            </w:r>
          </w:p>
        </w:tc>
        <w:tc>
          <w:tcPr>
            <w:tcW w:w="447" w:type="pct"/>
            <w:shd w:val="clear" w:color="auto" w:fill="EAEAEA"/>
          </w:tcPr>
          <w:p w14:paraId="1D6C21A1" w14:textId="77777777"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c>
          <w:tcPr>
            <w:tcW w:w="804" w:type="pct"/>
          </w:tcPr>
          <w:p w14:paraId="5852D2B0" w14:textId="034D99D0" w:rsidR="005B2584" w:rsidRPr="00C64973" w:rsidRDefault="005B2584" w:rsidP="00E51125">
            <w:pPr>
              <w:spacing w:after="0" w:line="288" w:lineRule="auto"/>
              <w:jc w:val="center"/>
              <w:rPr>
                <w:b/>
                <w:bCs/>
              </w:rPr>
            </w:pPr>
            <w:r w:rsidRPr="00C64973">
              <w:rPr>
                <w:b/>
                <w:bCs/>
              </w:rPr>
              <w:t>Individuals</w:t>
            </w:r>
          </w:p>
        </w:tc>
        <w:tc>
          <w:tcPr>
            <w:tcW w:w="491" w:type="pct"/>
            <w:shd w:val="clear" w:color="auto" w:fill="EAEAEA"/>
          </w:tcPr>
          <w:p w14:paraId="7C69826D" w14:textId="30F42EE7"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c>
          <w:tcPr>
            <w:tcW w:w="804" w:type="pct"/>
          </w:tcPr>
          <w:p w14:paraId="76BD7D4A" w14:textId="1EF795C4" w:rsidR="005B2584" w:rsidRPr="00C64973" w:rsidRDefault="005B2584" w:rsidP="00E51125">
            <w:pPr>
              <w:spacing w:after="0" w:line="288" w:lineRule="auto"/>
              <w:jc w:val="center"/>
              <w:rPr>
                <w:b/>
                <w:bCs/>
              </w:rPr>
            </w:pPr>
            <w:r w:rsidRPr="00C64973">
              <w:rPr>
                <w:b/>
                <w:bCs/>
              </w:rPr>
              <w:t>Individuals</w:t>
            </w:r>
          </w:p>
        </w:tc>
        <w:tc>
          <w:tcPr>
            <w:tcW w:w="535" w:type="pct"/>
            <w:shd w:val="clear" w:color="auto" w:fill="EAEAEA"/>
          </w:tcPr>
          <w:p w14:paraId="5E7C7D16" w14:textId="7C3E478F" w:rsidR="005B2584" w:rsidRPr="00C64973" w:rsidRDefault="005B2584" w:rsidP="00E51125">
            <w:pPr>
              <w:spacing w:after="0" w:line="288" w:lineRule="auto"/>
              <w:jc w:val="center"/>
              <w:rPr>
                <w:b/>
                <w:bCs/>
              </w:rPr>
            </w:pPr>
            <w:r w:rsidRPr="00C64973">
              <w:rPr>
                <w:b/>
                <w:bCs/>
              </w:rPr>
              <w:t>FTE</w:t>
            </w:r>
            <w:r w:rsidRPr="00C64973">
              <w:rPr>
                <w:b/>
                <w:bCs/>
                <w:position w:val="6"/>
                <w:sz w:val="16"/>
              </w:rPr>
              <w:t>1</w:t>
            </w:r>
          </w:p>
        </w:tc>
      </w:tr>
      <w:tr w:rsidR="005B2584" w:rsidRPr="00C64973" w14:paraId="35B93267" w14:textId="77777777" w:rsidTr="00E51125">
        <w:tc>
          <w:tcPr>
            <w:tcW w:w="1106" w:type="pct"/>
          </w:tcPr>
          <w:p w14:paraId="3391B064" w14:textId="452E3904" w:rsidR="005B2584" w:rsidRPr="00C64973" w:rsidRDefault="005B2584" w:rsidP="00E51125">
            <w:pPr>
              <w:spacing w:after="0" w:line="288" w:lineRule="auto"/>
              <w:rPr>
                <w:rFonts w:eastAsia="MS Mincho"/>
                <w:b/>
                <w:i/>
                <w:iCs/>
                <w:szCs w:val="24"/>
              </w:rPr>
            </w:pPr>
            <w:r w:rsidRPr="00C64973">
              <w:rPr>
                <w:b/>
                <w:szCs w:val="24"/>
              </w:rPr>
              <w:t xml:space="preserve">Full-time </w:t>
            </w:r>
            <w:r w:rsidR="00D574E5">
              <w:rPr>
                <w:b/>
                <w:szCs w:val="24"/>
              </w:rPr>
              <w:t>COMS</w:t>
            </w:r>
          </w:p>
        </w:tc>
        <w:tc>
          <w:tcPr>
            <w:tcW w:w="813" w:type="pct"/>
            <w:vAlign w:val="center"/>
          </w:tcPr>
          <w:p w14:paraId="7728CDCF" w14:textId="49F30690" w:rsidR="005B2584" w:rsidRPr="00C64973" w:rsidRDefault="00491401" w:rsidP="00E51125">
            <w:pPr>
              <w:spacing w:after="0" w:line="288" w:lineRule="auto"/>
              <w:jc w:val="center"/>
              <w:rPr>
                <w:szCs w:val="24"/>
              </w:rPr>
            </w:pPr>
            <w:r w:rsidRPr="00C64973">
              <w:rPr>
                <w:szCs w:val="24"/>
              </w:rPr>
              <w:t>173</w:t>
            </w:r>
          </w:p>
        </w:tc>
        <w:tc>
          <w:tcPr>
            <w:tcW w:w="447" w:type="pct"/>
            <w:shd w:val="clear" w:color="auto" w:fill="EAEAEA"/>
          </w:tcPr>
          <w:p w14:paraId="736C6419" w14:textId="77777777" w:rsidR="005B2584" w:rsidRPr="00C64973" w:rsidRDefault="005B2584" w:rsidP="00E51125">
            <w:pPr>
              <w:spacing w:after="0" w:line="288" w:lineRule="auto"/>
              <w:jc w:val="center"/>
              <w:rPr>
                <w:szCs w:val="24"/>
              </w:rPr>
            </w:pPr>
          </w:p>
        </w:tc>
        <w:tc>
          <w:tcPr>
            <w:tcW w:w="804" w:type="pct"/>
            <w:vAlign w:val="center"/>
          </w:tcPr>
          <w:p w14:paraId="2049147C" w14:textId="101B2DAF" w:rsidR="005B2584" w:rsidRPr="00C64973" w:rsidRDefault="00491401" w:rsidP="00E51125">
            <w:pPr>
              <w:spacing w:after="0" w:line="288" w:lineRule="auto"/>
              <w:jc w:val="center"/>
              <w:rPr>
                <w:szCs w:val="24"/>
              </w:rPr>
            </w:pPr>
            <w:r w:rsidRPr="00C64973">
              <w:rPr>
                <w:szCs w:val="24"/>
              </w:rPr>
              <w:t>176</w:t>
            </w:r>
          </w:p>
        </w:tc>
        <w:tc>
          <w:tcPr>
            <w:tcW w:w="491" w:type="pct"/>
            <w:shd w:val="clear" w:color="auto" w:fill="EAEAEA"/>
          </w:tcPr>
          <w:p w14:paraId="2EA3A733" w14:textId="6062BC74" w:rsidR="005B2584" w:rsidRPr="00C64973" w:rsidRDefault="005B2584" w:rsidP="00E51125">
            <w:pPr>
              <w:spacing w:after="0" w:line="288" w:lineRule="auto"/>
              <w:jc w:val="center"/>
              <w:rPr>
                <w:szCs w:val="24"/>
              </w:rPr>
            </w:pPr>
          </w:p>
        </w:tc>
        <w:tc>
          <w:tcPr>
            <w:tcW w:w="804" w:type="pct"/>
            <w:vAlign w:val="center"/>
          </w:tcPr>
          <w:p w14:paraId="5752144F" w14:textId="35E18D33" w:rsidR="005B2584" w:rsidRPr="00C64973" w:rsidRDefault="0048714B" w:rsidP="00E51125">
            <w:pPr>
              <w:spacing w:after="0" w:line="288" w:lineRule="auto"/>
              <w:jc w:val="center"/>
              <w:rPr>
                <w:szCs w:val="24"/>
              </w:rPr>
            </w:pPr>
            <w:r w:rsidRPr="00C64973">
              <w:rPr>
                <w:szCs w:val="24"/>
              </w:rPr>
              <w:t>185</w:t>
            </w:r>
          </w:p>
        </w:tc>
        <w:tc>
          <w:tcPr>
            <w:tcW w:w="535" w:type="pct"/>
            <w:shd w:val="clear" w:color="auto" w:fill="EAEAEA"/>
          </w:tcPr>
          <w:p w14:paraId="02E2112A" w14:textId="5D0C6C0C" w:rsidR="005B2584" w:rsidRPr="00C64973" w:rsidRDefault="005B2584" w:rsidP="00E51125">
            <w:pPr>
              <w:spacing w:after="0" w:line="288" w:lineRule="auto"/>
              <w:jc w:val="center"/>
              <w:rPr>
                <w:szCs w:val="24"/>
              </w:rPr>
            </w:pPr>
          </w:p>
        </w:tc>
      </w:tr>
      <w:tr w:rsidR="005B2584" w:rsidRPr="00C64973" w14:paraId="7EF03915" w14:textId="77777777" w:rsidTr="00E51125">
        <w:tc>
          <w:tcPr>
            <w:tcW w:w="1106" w:type="pct"/>
          </w:tcPr>
          <w:p w14:paraId="1CCF7177" w14:textId="24AD8D15" w:rsidR="005B2584" w:rsidRPr="00C64973" w:rsidRDefault="005B2584" w:rsidP="00E51125">
            <w:pPr>
              <w:spacing w:after="0" w:line="288" w:lineRule="auto"/>
              <w:rPr>
                <w:rFonts w:eastAsia="MS Mincho"/>
                <w:b/>
                <w:i/>
                <w:iCs/>
                <w:szCs w:val="24"/>
              </w:rPr>
            </w:pPr>
            <w:r w:rsidRPr="00C64973">
              <w:rPr>
                <w:b/>
                <w:szCs w:val="24"/>
              </w:rPr>
              <w:t xml:space="preserve">Part-time </w:t>
            </w:r>
            <w:r w:rsidR="00D574E5">
              <w:rPr>
                <w:b/>
                <w:szCs w:val="24"/>
              </w:rPr>
              <w:t>COMS</w:t>
            </w:r>
          </w:p>
        </w:tc>
        <w:tc>
          <w:tcPr>
            <w:tcW w:w="813" w:type="pct"/>
            <w:vAlign w:val="center"/>
          </w:tcPr>
          <w:p w14:paraId="5D4096C1" w14:textId="0B2D0055" w:rsidR="005B2584" w:rsidRPr="00C64973" w:rsidRDefault="00491401" w:rsidP="00E51125">
            <w:pPr>
              <w:spacing w:after="0" w:line="288" w:lineRule="auto"/>
              <w:jc w:val="center"/>
              <w:rPr>
                <w:szCs w:val="24"/>
              </w:rPr>
            </w:pPr>
            <w:r w:rsidRPr="00C64973">
              <w:rPr>
                <w:szCs w:val="24"/>
              </w:rPr>
              <w:t>115</w:t>
            </w:r>
          </w:p>
        </w:tc>
        <w:tc>
          <w:tcPr>
            <w:tcW w:w="447" w:type="pct"/>
            <w:shd w:val="clear" w:color="auto" w:fill="EAEAEA"/>
          </w:tcPr>
          <w:p w14:paraId="11E4509E" w14:textId="08206527" w:rsidR="005B2584" w:rsidRPr="00C64973" w:rsidRDefault="005B2584" w:rsidP="00E51125">
            <w:pPr>
              <w:spacing w:after="0" w:line="288" w:lineRule="auto"/>
              <w:jc w:val="center"/>
              <w:rPr>
                <w:sz w:val="20"/>
              </w:rPr>
            </w:pPr>
          </w:p>
        </w:tc>
        <w:tc>
          <w:tcPr>
            <w:tcW w:w="804" w:type="pct"/>
            <w:vAlign w:val="center"/>
          </w:tcPr>
          <w:p w14:paraId="7EF58374" w14:textId="2686AB6D" w:rsidR="005B2584" w:rsidRPr="00C64973" w:rsidRDefault="00491401" w:rsidP="00E51125">
            <w:pPr>
              <w:spacing w:after="0" w:line="288" w:lineRule="auto"/>
              <w:jc w:val="center"/>
              <w:rPr>
                <w:szCs w:val="24"/>
              </w:rPr>
            </w:pPr>
            <w:r w:rsidRPr="00C64973">
              <w:rPr>
                <w:szCs w:val="24"/>
              </w:rPr>
              <w:t>130</w:t>
            </w:r>
          </w:p>
        </w:tc>
        <w:tc>
          <w:tcPr>
            <w:tcW w:w="491" w:type="pct"/>
            <w:shd w:val="clear" w:color="auto" w:fill="EAEAEA"/>
          </w:tcPr>
          <w:p w14:paraId="2BC0F2FA" w14:textId="586FEE6D" w:rsidR="005B2584" w:rsidRPr="00C64973" w:rsidRDefault="005B2584" w:rsidP="00E51125">
            <w:pPr>
              <w:spacing w:after="0" w:line="288" w:lineRule="auto"/>
              <w:jc w:val="center"/>
              <w:rPr>
                <w:sz w:val="20"/>
              </w:rPr>
            </w:pPr>
          </w:p>
        </w:tc>
        <w:tc>
          <w:tcPr>
            <w:tcW w:w="804" w:type="pct"/>
            <w:vAlign w:val="center"/>
          </w:tcPr>
          <w:p w14:paraId="243621A3" w14:textId="1BC27AA8" w:rsidR="005B2584" w:rsidRPr="00C64973" w:rsidRDefault="0048714B" w:rsidP="00E51125">
            <w:pPr>
              <w:spacing w:after="0" w:line="288" w:lineRule="auto"/>
              <w:jc w:val="center"/>
              <w:rPr>
                <w:szCs w:val="24"/>
              </w:rPr>
            </w:pPr>
            <w:r w:rsidRPr="00C64973">
              <w:rPr>
                <w:szCs w:val="24"/>
              </w:rPr>
              <w:t>130</w:t>
            </w:r>
          </w:p>
        </w:tc>
        <w:tc>
          <w:tcPr>
            <w:tcW w:w="535" w:type="pct"/>
            <w:shd w:val="clear" w:color="auto" w:fill="EAEAEA"/>
          </w:tcPr>
          <w:p w14:paraId="4BB52243" w14:textId="03546839" w:rsidR="005B2584" w:rsidRPr="00C64973" w:rsidRDefault="005B2584" w:rsidP="00E51125">
            <w:pPr>
              <w:spacing w:after="0" w:line="288" w:lineRule="auto"/>
              <w:jc w:val="center"/>
              <w:rPr>
                <w:sz w:val="20"/>
              </w:rPr>
            </w:pPr>
          </w:p>
        </w:tc>
      </w:tr>
      <w:tr w:rsidR="005B2584" w:rsidRPr="00C64973" w14:paraId="2EE9A51A" w14:textId="77777777" w:rsidTr="00E51125">
        <w:tc>
          <w:tcPr>
            <w:tcW w:w="1106" w:type="pct"/>
          </w:tcPr>
          <w:p w14:paraId="60CAC52D" w14:textId="77777777" w:rsidR="005B2584" w:rsidRPr="00C64973" w:rsidRDefault="005B2584" w:rsidP="00E51125">
            <w:pPr>
              <w:spacing w:after="0" w:line="288" w:lineRule="auto"/>
              <w:rPr>
                <w:rFonts w:eastAsia="MS Mincho"/>
                <w:b/>
                <w:bCs/>
                <w:i/>
                <w:iCs/>
                <w:szCs w:val="24"/>
              </w:rPr>
            </w:pPr>
            <w:r w:rsidRPr="00C64973">
              <w:rPr>
                <w:b/>
                <w:bCs/>
                <w:szCs w:val="24"/>
              </w:rPr>
              <w:t xml:space="preserve">Total O&amp;M staff </w:t>
            </w:r>
          </w:p>
        </w:tc>
        <w:tc>
          <w:tcPr>
            <w:tcW w:w="813" w:type="pct"/>
          </w:tcPr>
          <w:p w14:paraId="5DFB346D" w14:textId="552261E8" w:rsidR="005B2584" w:rsidRPr="00C64973" w:rsidRDefault="00491401" w:rsidP="00E51125">
            <w:pPr>
              <w:spacing w:after="0" w:line="288" w:lineRule="auto"/>
              <w:jc w:val="center"/>
              <w:rPr>
                <w:b/>
                <w:bCs/>
                <w:szCs w:val="24"/>
              </w:rPr>
            </w:pPr>
            <w:r w:rsidRPr="00C64973">
              <w:rPr>
                <w:b/>
                <w:bCs/>
                <w:szCs w:val="24"/>
              </w:rPr>
              <w:t>288</w:t>
            </w:r>
          </w:p>
        </w:tc>
        <w:tc>
          <w:tcPr>
            <w:tcW w:w="447" w:type="pct"/>
            <w:shd w:val="clear" w:color="auto" w:fill="EAEAEA"/>
          </w:tcPr>
          <w:p w14:paraId="091714B7" w14:textId="55A381D6" w:rsidR="005B2584" w:rsidRPr="00C64973" w:rsidRDefault="00491401" w:rsidP="00E51125">
            <w:pPr>
              <w:spacing w:after="0" w:line="288" w:lineRule="auto"/>
              <w:jc w:val="center"/>
              <w:rPr>
                <w:b/>
                <w:bCs/>
                <w:szCs w:val="24"/>
              </w:rPr>
            </w:pPr>
            <w:r w:rsidRPr="00C64973">
              <w:rPr>
                <w:b/>
                <w:bCs/>
                <w:szCs w:val="24"/>
              </w:rPr>
              <w:t>230.5</w:t>
            </w:r>
          </w:p>
        </w:tc>
        <w:tc>
          <w:tcPr>
            <w:tcW w:w="804" w:type="pct"/>
          </w:tcPr>
          <w:p w14:paraId="55825F29" w14:textId="69975E89" w:rsidR="005B2584" w:rsidRPr="00C64973" w:rsidRDefault="00491401" w:rsidP="00E51125">
            <w:pPr>
              <w:spacing w:after="0" w:line="288" w:lineRule="auto"/>
              <w:jc w:val="center"/>
              <w:rPr>
                <w:b/>
                <w:bCs/>
                <w:szCs w:val="24"/>
              </w:rPr>
            </w:pPr>
            <w:r w:rsidRPr="00C64973">
              <w:rPr>
                <w:b/>
                <w:bCs/>
                <w:szCs w:val="24"/>
              </w:rPr>
              <w:t>306</w:t>
            </w:r>
          </w:p>
        </w:tc>
        <w:tc>
          <w:tcPr>
            <w:tcW w:w="491" w:type="pct"/>
            <w:shd w:val="clear" w:color="auto" w:fill="EAEAEA"/>
          </w:tcPr>
          <w:p w14:paraId="058987F5" w14:textId="3C884396" w:rsidR="005B2584" w:rsidRPr="00C64973" w:rsidRDefault="00491401" w:rsidP="00E51125">
            <w:pPr>
              <w:spacing w:after="0" w:line="288" w:lineRule="auto"/>
              <w:jc w:val="center"/>
              <w:rPr>
                <w:b/>
                <w:bCs/>
                <w:szCs w:val="24"/>
              </w:rPr>
            </w:pPr>
            <w:r w:rsidRPr="00C64973">
              <w:rPr>
                <w:b/>
                <w:bCs/>
                <w:szCs w:val="24"/>
              </w:rPr>
              <w:t>241</w:t>
            </w:r>
          </w:p>
        </w:tc>
        <w:tc>
          <w:tcPr>
            <w:tcW w:w="804" w:type="pct"/>
          </w:tcPr>
          <w:p w14:paraId="0831703D" w14:textId="120121EE" w:rsidR="005B2584" w:rsidRPr="00C64973" w:rsidRDefault="0048714B" w:rsidP="00E51125">
            <w:pPr>
              <w:spacing w:after="0" w:line="288" w:lineRule="auto"/>
              <w:jc w:val="center"/>
              <w:rPr>
                <w:b/>
                <w:bCs/>
                <w:szCs w:val="24"/>
              </w:rPr>
            </w:pPr>
            <w:r w:rsidRPr="00C64973">
              <w:rPr>
                <w:b/>
                <w:bCs/>
                <w:szCs w:val="24"/>
              </w:rPr>
              <w:t>315</w:t>
            </w:r>
          </w:p>
        </w:tc>
        <w:tc>
          <w:tcPr>
            <w:tcW w:w="535" w:type="pct"/>
            <w:shd w:val="clear" w:color="auto" w:fill="EAEAEA"/>
          </w:tcPr>
          <w:p w14:paraId="6BAB8A68" w14:textId="472327D4" w:rsidR="005B2584" w:rsidRPr="00C64973" w:rsidRDefault="0048714B" w:rsidP="00E51125">
            <w:pPr>
              <w:spacing w:after="0" w:line="288" w:lineRule="auto"/>
              <w:jc w:val="center"/>
              <w:rPr>
                <w:b/>
                <w:bCs/>
                <w:szCs w:val="24"/>
              </w:rPr>
            </w:pPr>
            <w:r w:rsidRPr="00C64973">
              <w:rPr>
                <w:b/>
                <w:bCs/>
                <w:szCs w:val="24"/>
              </w:rPr>
              <w:t>250</w:t>
            </w:r>
          </w:p>
        </w:tc>
      </w:tr>
    </w:tbl>
    <w:p w14:paraId="419328AD" w14:textId="4997D210" w:rsidR="00D1303F" w:rsidRPr="00C64973" w:rsidRDefault="008F502F" w:rsidP="005B2584">
      <w:pPr>
        <w:pStyle w:val="ListParagraph"/>
        <w:numPr>
          <w:ilvl w:val="0"/>
          <w:numId w:val="35"/>
        </w:numPr>
        <w:tabs>
          <w:tab w:val="left" w:pos="720"/>
        </w:tabs>
        <w:rPr>
          <w:szCs w:val="24"/>
        </w:rPr>
      </w:pPr>
      <w:r w:rsidRPr="00C64973">
        <w:rPr>
          <w:szCs w:val="24"/>
        </w:rPr>
        <w:t>FTE = part-time x .5 + full-</w:t>
      </w:r>
      <w:r w:rsidR="005B2584" w:rsidRPr="00C64973">
        <w:rPr>
          <w:szCs w:val="24"/>
        </w:rPr>
        <w:t>time for all charts</w:t>
      </w:r>
    </w:p>
    <w:p w14:paraId="65B3686E" w14:textId="759C1E11" w:rsidR="00A0693E" w:rsidRPr="00C64973" w:rsidRDefault="006D62CE" w:rsidP="005B2584">
      <w:r w:rsidRPr="00C64973">
        <w:t>As noted</w:t>
      </w:r>
      <w:r w:rsidR="0051294B" w:rsidRPr="00C64973">
        <w:t xml:space="preserve"> in Table 3 above and</w:t>
      </w:r>
      <w:r w:rsidR="000204C6" w:rsidRPr="00C64973">
        <w:t xml:space="preserve"> the graphs</w:t>
      </w:r>
      <w:r w:rsidR="000500C7" w:rsidRPr="00C64973">
        <w:t xml:space="preserve"> that follow</w:t>
      </w:r>
      <w:r w:rsidR="005A1F14" w:rsidRPr="00C64973">
        <w:t>, the t</w:t>
      </w:r>
      <w:r w:rsidRPr="00C64973">
        <w:t>otal number of O&amp;M specialists in</w:t>
      </w:r>
      <w:r w:rsidR="005A1F14" w:rsidRPr="00C64973">
        <w:t>c</w:t>
      </w:r>
      <w:r w:rsidR="00491401" w:rsidRPr="00C64973">
        <w:t xml:space="preserve">reased this year by </w:t>
      </w:r>
      <w:r w:rsidR="00463C69">
        <w:t>9</w:t>
      </w:r>
      <w:r w:rsidR="00B32A0E" w:rsidRPr="00C64973">
        <w:t xml:space="preserve"> </w:t>
      </w:r>
      <w:r w:rsidRPr="00C64973">
        <w:t>individuals</w:t>
      </w:r>
      <w:r w:rsidR="00463C69">
        <w:t>, or by 3</w:t>
      </w:r>
      <w:r w:rsidR="004A64FE" w:rsidRPr="00C64973">
        <w:t xml:space="preserve">%, with all </w:t>
      </w:r>
      <w:r w:rsidR="00EF4DD4" w:rsidRPr="00C64973">
        <w:t xml:space="preserve">growth </w:t>
      </w:r>
      <w:r w:rsidR="00491401" w:rsidRPr="00C64973">
        <w:t>in the full</w:t>
      </w:r>
      <w:r w:rsidR="0007236A" w:rsidRPr="00C64973">
        <w:t>-time category</w:t>
      </w:r>
      <w:r w:rsidR="006B1321" w:rsidRPr="00C64973">
        <w:t xml:space="preserve">. </w:t>
      </w:r>
      <w:r w:rsidR="004A64FE" w:rsidRPr="00C64973">
        <w:t>A total of 27</w:t>
      </w:r>
      <w:r w:rsidR="00491401" w:rsidRPr="00C64973">
        <w:t xml:space="preserve"> </w:t>
      </w:r>
      <w:r w:rsidR="00291681" w:rsidRPr="00C64973">
        <w:t xml:space="preserve">additional </w:t>
      </w:r>
      <w:r w:rsidR="0007236A" w:rsidRPr="00C64973">
        <w:t>COMS</w:t>
      </w:r>
      <w:r w:rsidR="0034440C" w:rsidRPr="00C64973">
        <w:t xml:space="preserve"> have been</w:t>
      </w:r>
      <w:r w:rsidR="00491401" w:rsidRPr="00C64973">
        <w:t xml:space="preserve"> added to the VI field between 2018 and 2020</w:t>
      </w:r>
      <w:r w:rsidR="001D4723" w:rsidRPr="00C64973">
        <w:t xml:space="preserve">. </w:t>
      </w:r>
    </w:p>
    <w:p w14:paraId="1DFB0B1E" w14:textId="64F0997A" w:rsidR="00A0693E" w:rsidRPr="00C64973" w:rsidRDefault="00A0693E" w:rsidP="00DE26E9">
      <w:pPr>
        <w:rPr>
          <w:sz w:val="20"/>
        </w:rPr>
      </w:pPr>
      <w:r w:rsidRPr="00C64973">
        <w:rPr>
          <w:sz w:val="20"/>
        </w:rPr>
        <w:t xml:space="preserve">Graph 3: Total Number of COMS in Texas  </w:t>
      </w:r>
    </w:p>
    <w:tbl>
      <w:tblPr>
        <w:tblW w:w="0" w:type="auto"/>
        <w:tblLook w:val="04A0" w:firstRow="1" w:lastRow="0" w:firstColumn="1" w:lastColumn="0" w:noHBand="0" w:noVBand="1"/>
      </w:tblPr>
      <w:tblGrid>
        <w:gridCol w:w="1350"/>
        <w:gridCol w:w="222"/>
        <w:gridCol w:w="222"/>
        <w:gridCol w:w="661"/>
        <w:gridCol w:w="661"/>
        <w:gridCol w:w="661"/>
        <w:gridCol w:w="661"/>
        <w:gridCol w:w="661"/>
        <w:gridCol w:w="661"/>
        <w:gridCol w:w="661"/>
        <w:gridCol w:w="661"/>
        <w:gridCol w:w="661"/>
        <w:gridCol w:w="661"/>
        <w:gridCol w:w="661"/>
      </w:tblGrid>
      <w:tr w:rsidR="00337376" w:rsidRPr="00337376" w14:paraId="45832CB3" w14:textId="77777777" w:rsidTr="00337376">
        <w:trPr>
          <w:trHeight w:val="313"/>
        </w:trPr>
        <w:tc>
          <w:tcPr>
            <w:tcW w:w="0" w:type="auto"/>
            <w:tcBorders>
              <w:top w:val="nil"/>
              <w:left w:val="nil"/>
              <w:bottom w:val="nil"/>
              <w:right w:val="nil"/>
            </w:tcBorders>
            <w:shd w:val="clear" w:color="FFFF00" w:fill="FFFF00"/>
            <w:noWrap/>
            <w:vAlign w:val="bottom"/>
            <w:hideMark/>
          </w:tcPr>
          <w:p w14:paraId="270D3CB5" w14:textId="368B4EDC"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41DEC1FF" w14:textId="43BDDFBD"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9C5301A" w14:textId="012F1520" w:rsidR="00337376" w:rsidRPr="00337376" w:rsidRDefault="00337376" w:rsidP="00337376">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CD30E77" w14:textId="68AB7739" w:rsidR="00337376" w:rsidRPr="00337376" w:rsidRDefault="00337376" w:rsidP="00337376">
            <w:pPr>
              <w:spacing w:after="0" w:line="240" w:lineRule="auto"/>
              <w:jc w:val="right"/>
              <w:rPr>
                <w:rFonts w:cs="Arial"/>
                <w:sz w:val="20"/>
              </w:rPr>
            </w:pPr>
            <w:r w:rsidRPr="00337376">
              <w:rPr>
                <w:rFonts w:cs="Arial"/>
                <w:sz w:val="20"/>
              </w:rPr>
              <w:t>2010</w:t>
            </w:r>
          </w:p>
        </w:tc>
        <w:tc>
          <w:tcPr>
            <w:tcW w:w="0" w:type="auto"/>
            <w:tcBorders>
              <w:top w:val="nil"/>
              <w:left w:val="nil"/>
              <w:bottom w:val="nil"/>
              <w:right w:val="nil"/>
            </w:tcBorders>
            <w:shd w:val="clear" w:color="auto" w:fill="auto"/>
            <w:noWrap/>
            <w:vAlign w:val="bottom"/>
            <w:hideMark/>
          </w:tcPr>
          <w:p w14:paraId="07DECDD7" w14:textId="77777777" w:rsidR="00337376" w:rsidRPr="00337376" w:rsidRDefault="00337376" w:rsidP="00337376">
            <w:pPr>
              <w:spacing w:after="0" w:line="240" w:lineRule="auto"/>
              <w:jc w:val="right"/>
              <w:rPr>
                <w:rFonts w:cs="Arial"/>
                <w:sz w:val="20"/>
              </w:rPr>
            </w:pPr>
            <w:r w:rsidRPr="00337376">
              <w:rPr>
                <w:rFonts w:cs="Arial"/>
                <w:sz w:val="20"/>
              </w:rPr>
              <w:t>2011</w:t>
            </w:r>
          </w:p>
        </w:tc>
        <w:tc>
          <w:tcPr>
            <w:tcW w:w="0" w:type="auto"/>
            <w:tcBorders>
              <w:top w:val="nil"/>
              <w:left w:val="nil"/>
              <w:bottom w:val="nil"/>
              <w:right w:val="nil"/>
            </w:tcBorders>
            <w:shd w:val="clear" w:color="auto" w:fill="auto"/>
            <w:noWrap/>
            <w:vAlign w:val="bottom"/>
            <w:hideMark/>
          </w:tcPr>
          <w:p w14:paraId="098B6615" w14:textId="77777777" w:rsidR="00337376" w:rsidRPr="00337376" w:rsidRDefault="00337376" w:rsidP="00337376">
            <w:pPr>
              <w:spacing w:after="0" w:line="240" w:lineRule="auto"/>
              <w:jc w:val="right"/>
              <w:rPr>
                <w:rFonts w:cs="Arial"/>
                <w:sz w:val="20"/>
              </w:rPr>
            </w:pPr>
            <w:r w:rsidRPr="00337376">
              <w:rPr>
                <w:rFonts w:cs="Arial"/>
                <w:sz w:val="20"/>
              </w:rPr>
              <w:t>2012</w:t>
            </w:r>
          </w:p>
        </w:tc>
        <w:tc>
          <w:tcPr>
            <w:tcW w:w="0" w:type="auto"/>
            <w:tcBorders>
              <w:top w:val="nil"/>
              <w:left w:val="nil"/>
              <w:bottom w:val="nil"/>
              <w:right w:val="nil"/>
            </w:tcBorders>
            <w:shd w:val="clear" w:color="auto" w:fill="auto"/>
            <w:noWrap/>
            <w:vAlign w:val="bottom"/>
            <w:hideMark/>
          </w:tcPr>
          <w:p w14:paraId="43D7F737" w14:textId="25CBF2CC" w:rsidR="00337376" w:rsidRPr="00337376" w:rsidRDefault="00337376" w:rsidP="00337376">
            <w:pPr>
              <w:spacing w:after="0" w:line="240" w:lineRule="auto"/>
              <w:jc w:val="right"/>
              <w:rPr>
                <w:rFonts w:cs="Arial"/>
                <w:sz w:val="20"/>
              </w:rPr>
            </w:pPr>
            <w:r w:rsidRPr="00337376">
              <w:rPr>
                <w:rFonts w:cs="Arial"/>
                <w:sz w:val="20"/>
              </w:rPr>
              <w:t>2013</w:t>
            </w:r>
          </w:p>
        </w:tc>
        <w:tc>
          <w:tcPr>
            <w:tcW w:w="0" w:type="auto"/>
            <w:tcBorders>
              <w:top w:val="nil"/>
              <w:left w:val="nil"/>
              <w:bottom w:val="nil"/>
              <w:right w:val="nil"/>
            </w:tcBorders>
            <w:shd w:val="clear" w:color="auto" w:fill="auto"/>
            <w:noWrap/>
            <w:vAlign w:val="bottom"/>
            <w:hideMark/>
          </w:tcPr>
          <w:p w14:paraId="4F33CCAD" w14:textId="0845D6F6" w:rsidR="00337376" w:rsidRPr="00337376" w:rsidRDefault="00337376" w:rsidP="00337376">
            <w:pPr>
              <w:spacing w:after="0" w:line="240" w:lineRule="auto"/>
              <w:jc w:val="right"/>
              <w:rPr>
                <w:rFonts w:cs="Arial"/>
                <w:sz w:val="20"/>
              </w:rPr>
            </w:pPr>
            <w:r w:rsidRPr="00337376">
              <w:rPr>
                <w:rFonts w:cs="Arial"/>
                <w:sz w:val="20"/>
              </w:rPr>
              <w:t>2014</w:t>
            </w:r>
          </w:p>
        </w:tc>
        <w:tc>
          <w:tcPr>
            <w:tcW w:w="0" w:type="auto"/>
            <w:tcBorders>
              <w:top w:val="nil"/>
              <w:left w:val="nil"/>
              <w:bottom w:val="nil"/>
              <w:right w:val="nil"/>
            </w:tcBorders>
            <w:shd w:val="clear" w:color="auto" w:fill="auto"/>
            <w:noWrap/>
            <w:vAlign w:val="bottom"/>
            <w:hideMark/>
          </w:tcPr>
          <w:p w14:paraId="113FDE92" w14:textId="77777777" w:rsidR="00337376" w:rsidRPr="00337376" w:rsidRDefault="00337376" w:rsidP="00337376">
            <w:pPr>
              <w:spacing w:after="0" w:line="240" w:lineRule="auto"/>
              <w:jc w:val="right"/>
              <w:rPr>
                <w:rFonts w:cs="Arial"/>
                <w:sz w:val="20"/>
              </w:rPr>
            </w:pPr>
            <w:r w:rsidRPr="00337376">
              <w:rPr>
                <w:rFonts w:cs="Arial"/>
                <w:sz w:val="20"/>
              </w:rPr>
              <w:t>2015</w:t>
            </w:r>
          </w:p>
        </w:tc>
        <w:tc>
          <w:tcPr>
            <w:tcW w:w="0" w:type="auto"/>
            <w:tcBorders>
              <w:top w:val="nil"/>
              <w:left w:val="nil"/>
              <w:bottom w:val="nil"/>
              <w:right w:val="nil"/>
            </w:tcBorders>
            <w:shd w:val="clear" w:color="auto" w:fill="auto"/>
            <w:noWrap/>
            <w:vAlign w:val="bottom"/>
            <w:hideMark/>
          </w:tcPr>
          <w:p w14:paraId="5A4A32B9" w14:textId="3605699D" w:rsidR="00337376" w:rsidRPr="00337376" w:rsidRDefault="00337376" w:rsidP="00337376">
            <w:pPr>
              <w:spacing w:after="0" w:line="240" w:lineRule="auto"/>
              <w:jc w:val="right"/>
              <w:rPr>
                <w:rFonts w:cs="Arial"/>
                <w:sz w:val="20"/>
              </w:rPr>
            </w:pPr>
            <w:r w:rsidRPr="00337376">
              <w:rPr>
                <w:rFonts w:cs="Arial"/>
                <w:sz w:val="20"/>
              </w:rPr>
              <w:t>2016</w:t>
            </w:r>
          </w:p>
        </w:tc>
        <w:tc>
          <w:tcPr>
            <w:tcW w:w="0" w:type="auto"/>
            <w:tcBorders>
              <w:top w:val="nil"/>
              <w:left w:val="nil"/>
              <w:bottom w:val="nil"/>
              <w:right w:val="nil"/>
            </w:tcBorders>
            <w:shd w:val="clear" w:color="auto" w:fill="auto"/>
            <w:noWrap/>
            <w:vAlign w:val="bottom"/>
            <w:hideMark/>
          </w:tcPr>
          <w:p w14:paraId="6B88B913" w14:textId="77777777" w:rsidR="00337376" w:rsidRPr="00337376" w:rsidRDefault="00337376" w:rsidP="00337376">
            <w:pPr>
              <w:spacing w:after="0" w:line="240" w:lineRule="auto"/>
              <w:jc w:val="right"/>
              <w:rPr>
                <w:rFonts w:cs="Arial"/>
                <w:sz w:val="20"/>
              </w:rPr>
            </w:pPr>
            <w:r w:rsidRPr="00337376">
              <w:rPr>
                <w:rFonts w:cs="Arial"/>
                <w:sz w:val="20"/>
              </w:rPr>
              <w:t>2017</w:t>
            </w:r>
          </w:p>
        </w:tc>
        <w:tc>
          <w:tcPr>
            <w:tcW w:w="0" w:type="auto"/>
            <w:tcBorders>
              <w:top w:val="nil"/>
              <w:left w:val="nil"/>
              <w:bottom w:val="nil"/>
              <w:right w:val="nil"/>
            </w:tcBorders>
            <w:shd w:val="clear" w:color="auto" w:fill="auto"/>
            <w:noWrap/>
            <w:vAlign w:val="bottom"/>
            <w:hideMark/>
          </w:tcPr>
          <w:p w14:paraId="7730EDE2" w14:textId="77777777" w:rsidR="00337376" w:rsidRPr="00337376" w:rsidRDefault="00337376" w:rsidP="00337376">
            <w:pPr>
              <w:spacing w:after="0" w:line="240" w:lineRule="auto"/>
              <w:jc w:val="right"/>
              <w:rPr>
                <w:rFonts w:cs="Arial"/>
                <w:sz w:val="20"/>
              </w:rPr>
            </w:pPr>
            <w:r w:rsidRPr="00337376">
              <w:rPr>
                <w:rFonts w:cs="Arial"/>
                <w:sz w:val="20"/>
              </w:rPr>
              <w:t>2018</w:t>
            </w:r>
          </w:p>
        </w:tc>
        <w:tc>
          <w:tcPr>
            <w:tcW w:w="0" w:type="auto"/>
            <w:tcBorders>
              <w:top w:val="nil"/>
              <w:left w:val="nil"/>
              <w:bottom w:val="nil"/>
              <w:right w:val="nil"/>
            </w:tcBorders>
            <w:shd w:val="clear" w:color="auto" w:fill="auto"/>
            <w:noWrap/>
            <w:vAlign w:val="bottom"/>
            <w:hideMark/>
          </w:tcPr>
          <w:p w14:paraId="2B22EB2B" w14:textId="77777777" w:rsidR="00337376" w:rsidRPr="00337376" w:rsidRDefault="00337376" w:rsidP="00337376">
            <w:pPr>
              <w:spacing w:after="0" w:line="240" w:lineRule="auto"/>
              <w:jc w:val="right"/>
              <w:rPr>
                <w:rFonts w:cs="Arial"/>
                <w:sz w:val="20"/>
              </w:rPr>
            </w:pPr>
            <w:r w:rsidRPr="00337376">
              <w:rPr>
                <w:rFonts w:cs="Arial"/>
                <w:sz w:val="20"/>
              </w:rPr>
              <w:t>2019</w:t>
            </w:r>
          </w:p>
        </w:tc>
        <w:tc>
          <w:tcPr>
            <w:tcW w:w="0" w:type="auto"/>
            <w:tcBorders>
              <w:top w:val="nil"/>
              <w:left w:val="nil"/>
              <w:bottom w:val="nil"/>
              <w:right w:val="nil"/>
            </w:tcBorders>
            <w:shd w:val="clear" w:color="auto" w:fill="auto"/>
            <w:noWrap/>
            <w:vAlign w:val="bottom"/>
            <w:hideMark/>
          </w:tcPr>
          <w:p w14:paraId="75A49208" w14:textId="77777777" w:rsidR="00337376" w:rsidRPr="00337376" w:rsidRDefault="00337376" w:rsidP="00337376">
            <w:pPr>
              <w:spacing w:after="0" w:line="240" w:lineRule="auto"/>
              <w:jc w:val="right"/>
              <w:rPr>
                <w:rFonts w:cs="Arial"/>
                <w:sz w:val="20"/>
              </w:rPr>
            </w:pPr>
            <w:r w:rsidRPr="00337376">
              <w:rPr>
                <w:rFonts w:cs="Arial"/>
                <w:sz w:val="20"/>
              </w:rPr>
              <w:t>2020</w:t>
            </w:r>
          </w:p>
        </w:tc>
      </w:tr>
      <w:tr w:rsidR="00337376" w:rsidRPr="00337376" w14:paraId="1AD27277" w14:textId="77777777" w:rsidTr="00337376">
        <w:trPr>
          <w:trHeight w:val="313"/>
        </w:trPr>
        <w:tc>
          <w:tcPr>
            <w:tcW w:w="0" w:type="auto"/>
            <w:tcBorders>
              <w:top w:val="nil"/>
              <w:left w:val="nil"/>
              <w:bottom w:val="nil"/>
              <w:right w:val="nil"/>
            </w:tcBorders>
            <w:shd w:val="clear" w:color="auto" w:fill="auto"/>
            <w:vAlign w:val="bottom"/>
            <w:hideMark/>
          </w:tcPr>
          <w:p w14:paraId="5456A92A" w14:textId="77777777" w:rsidR="00337376" w:rsidRPr="00337376" w:rsidRDefault="00337376" w:rsidP="00337376">
            <w:pPr>
              <w:spacing w:after="0" w:line="240" w:lineRule="auto"/>
              <w:rPr>
                <w:rFonts w:cs="Arial"/>
                <w:b/>
                <w:bCs/>
                <w:sz w:val="20"/>
              </w:rPr>
            </w:pPr>
            <w:r w:rsidRPr="00337376">
              <w:rPr>
                <w:rFonts w:cs="Arial"/>
                <w:b/>
                <w:bCs/>
                <w:sz w:val="20"/>
              </w:rPr>
              <w:t>Total COMS</w:t>
            </w:r>
          </w:p>
        </w:tc>
        <w:tc>
          <w:tcPr>
            <w:tcW w:w="0" w:type="auto"/>
            <w:tcBorders>
              <w:top w:val="nil"/>
              <w:left w:val="nil"/>
              <w:bottom w:val="nil"/>
              <w:right w:val="nil"/>
            </w:tcBorders>
            <w:shd w:val="clear" w:color="auto" w:fill="auto"/>
            <w:noWrap/>
            <w:vAlign w:val="bottom"/>
            <w:hideMark/>
          </w:tcPr>
          <w:p w14:paraId="1BA49DCE" w14:textId="2E9E0214" w:rsidR="00337376" w:rsidRPr="00337376" w:rsidRDefault="00337376" w:rsidP="00337376">
            <w:pPr>
              <w:spacing w:after="0" w:line="240" w:lineRule="auto"/>
              <w:rPr>
                <w:rFonts w:cs="Arial"/>
                <w:b/>
                <w:bCs/>
                <w:sz w:val="20"/>
              </w:rPr>
            </w:pPr>
          </w:p>
        </w:tc>
        <w:tc>
          <w:tcPr>
            <w:tcW w:w="0" w:type="auto"/>
            <w:tcBorders>
              <w:top w:val="nil"/>
              <w:left w:val="nil"/>
              <w:bottom w:val="nil"/>
              <w:right w:val="nil"/>
            </w:tcBorders>
            <w:shd w:val="clear" w:color="auto" w:fill="auto"/>
            <w:noWrap/>
            <w:vAlign w:val="bottom"/>
            <w:hideMark/>
          </w:tcPr>
          <w:p w14:paraId="1546B0BE" w14:textId="013A78D3" w:rsidR="00337376" w:rsidRPr="00337376" w:rsidRDefault="00337376" w:rsidP="00337376">
            <w:pPr>
              <w:spacing w:after="0" w:line="240" w:lineRule="auto"/>
              <w:rPr>
                <w:rFonts w:ascii="Times New Roman" w:hAnsi="Times New Roman"/>
                <w:sz w:val="20"/>
              </w:rPr>
            </w:pPr>
            <w:r w:rsidRPr="00C64973">
              <w:rPr>
                <w:noProof/>
                <w:sz w:val="20"/>
              </w:rPr>
              <w:drawing>
                <wp:anchor distT="0" distB="0" distL="114300" distR="114300" simplePos="0" relativeHeight="251750912" behindDoc="0" locked="0" layoutInCell="1" allowOverlap="1" wp14:anchorId="221294E8" wp14:editId="7B117614">
                  <wp:simplePos x="0" y="0"/>
                  <wp:positionH relativeFrom="margin">
                    <wp:posOffset>-1230630</wp:posOffset>
                  </wp:positionH>
                  <wp:positionV relativeFrom="page">
                    <wp:posOffset>-571500</wp:posOffset>
                  </wp:positionV>
                  <wp:extent cx="6482715" cy="2571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2715" cy="2571750"/>
                          </a:xfrm>
                          <a:prstGeom prst="rect">
                            <a:avLst/>
                          </a:prstGeom>
                          <a:noFill/>
                        </pic:spPr>
                      </pic:pic>
                    </a:graphicData>
                  </a:graphic>
                  <wp14:sizeRelH relativeFrom="margin">
                    <wp14:pctWidth>0</wp14:pctWidth>
                  </wp14:sizeRelH>
                  <wp14:sizeRelV relativeFrom="margin">
                    <wp14:pctHeight>0</wp14:pctHeight>
                  </wp14:sizeRelV>
                </wp:anchor>
              </w:drawing>
            </w:r>
          </w:p>
        </w:tc>
        <w:tc>
          <w:tcPr>
            <w:tcW w:w="0" w:type="auto"/>
            <w:tcBorders>
              <w:top w:val="nil"/>
              <w:left w:val="nil"/>
              <w:bottom w:val="nil"/>
              <w:right w:val="nil"/>
            </w:tcBorders>
            <w:shd w:val="clear" w:color="auto" w:fill="auto"/>
            <w:noWrap/>
            <w:vAlign w:val="bottom"/>
            <w:hideMark/>
          </w:tcPr>
          <w:p w14:paraId="53F738BF" w14:textId="5241A896" w:rsidR="00337376" w:rsidRPr="00337376" w:rsidRDefault="00337376" w:rsidP="00337376">
            <w:pPr>
              <w:spacing w:after="0" w:line="240" w:lineRule="auto"/>
              <w:jc w:val="right"/>
              <w:rPr>
                <w:rFonts w:cs="Arial"/>
                <w:color w:val="000000"/>
                <w:sz w:val="20"/>
              </w:rPr>
            </w:pPr>
            <w:r w:rsidRPr="00337376">
              <w:rPr>
                <w:rFonts w:cs="Arial"/>
                <w:color w:val="000000"/>
                <w:sz w:val="20"/>
              </w:rPr>
              <w:t>212</w:t>
            </w:r>
          </w:p>
        </w:tc>
        <w:tc>
          <w:tcPr>
            <w:tcW w:w="0" w:type="auto"/>
            <w:tcBorders>
              <w:top w:val="nil"/>
              <w:left w:val="nil"/>
              <w:bottom w:val="nil"/>
              <w:right w:val="nil"/>
            </w:tcBorders>
            <w:shd w:val="clear" w:color="auto" w:fill="auto"/>
            <w:noWrap/>
            <w:vAlign w:val="bottom"/>
            <w:hideMark/>
          </w:tcPr>
          <w:p w14:paraId="4E48DB6A" w14:textId="08FACF51" w:rsidR="00337376" w:rsidRPr="00337376" w:rsidRDefault="00337376" w:rsidP="00337376">
            <w:pPr>
              <w:spacing w:after="0" w:line="240" w:lineRule="auto"/>
              <w:jc w:val="right"/>
              <w:rPr>
                <w:rFonts w:cs="Arial"/>
                <w:color w:val="000000"/>
                <w:sz w:val="20"/>
              </w:rPr>
            </w:pPr>
            <w:r w:rsidRPr="00337376">
              <w:rPr>
                <w:rFonts w:cs="Arial"/>
                <w:color w:val="000000"/>
                <w:sz w:val="20"/>
              </w:rPr>
              <w:t>227</w:t>
            </w:r>
          </w:p>
        </w:tc>
        <w:tc>
          <w:tcPr>
            <w:tcW w:w="0" w:type="auto"/>
            <w:tcBorders>
              <w:top w:val="nil"/>
              <w:left w:val="nil"/>
              <w:bottom w:val="nil"/>
              <w:right w:val="nil"/>
            </w:tcBorders>
            <w:shd w:val="clear" w:color="auto" w:fill="auto"/>
            <w:noWrap/>
            <w:vAlign w:val="bottom"/>
            <w:hideMark/>
          </w:tcPr>
          <w:p w14:paraId="5C165E27" w14:textId="05AF7C8F" w:rsidR="00337376" w:rsidRPr="00337376" w:rsidRDefault="00337376" w:rsidP="00337376">
            <w:pPr>
              <w:spacing w:after="0" w:line="240" w:lineRule="auto"/>
              <w:jc w:val="right"/>
              <w:rPr>
                <w:rFonts w:cs="Arial"/>
                <w:color w:val="000000"/>
                <w:sz w:val="20"/>
              </w:rPr>
            </w:pPr>
            <w:r w:rsidRPr="00337376">
              <w:rPr>
                <w:rFonts w:cs="Arial"/>
                <w:color w:val="000000"/>
                <w:sz w:val="20"/>
              </w:rPr>
              <w:t>253</w:t>
            </w:r>
          </w:p>
        </w:tc>
        <w:tc>
          <w:tcPr>
            <w:tcW w:w="0" w:type="auto"/>
            <w:tcBorders>
              <w:top w:val="nil"/>
              <w:left w:val="nil"/>
              <w:bottom w:val="nil"/>
              <w:right w:val="nil"/>
            </w:tcBorders>
            <w:shd w:val="clear" w:color="auto" w:fill="auto"/>
            <w:noWrap/>
            <w:vAlign w:val="bottom"/>
            <w:hideMark/>
          </w:tcPr>
          <w:p w14:paraId="6126E68B" w14:textId="3A7451DE" w:rsidR="00337376" w:rsidRPr="00337376" w:rsidRDefault="00337376" w:rsidP="00337376">
            <w:pPr>
              <w:spacing w:after="0" w:line="240" w:lineRule="auto"/>
              <w:jc w:val="right"/>
              <w:rPr>
                <w:rFonts w:cs="Arial"/>
                <w:color w:val="000000"/>
                <w:sz w:val="20"/>
              </w:rPr>
            </w:pPr>
            <w:r w:rsidRPr="00337376">
              <w:rPr>
                <w:rFonts w:cs="Arial"/>
                <w:color w:val="000000"/>
                <w:sz w:val="20"/>
              </w:rPr>
              <w:t>235</w:t>
            </w:r>
          </w:p>
        </w:tc>
        <w:tc>
          <w:tcPr>
            <w:tcW w:w="0" w:type="auto"/>
            <w:tcBorders>
              <w:top w:val="nil"/>
              <w:left w:val="nil"/>
              <w:bottom w:val="nil"/>
              <w:right w:val="nil"/>
            </w:tcBorders>
            <w:shd w:val="clear" w:color="auto" w:fill="auto"/>
            <w:noWrap/>
            <w:vAlign w:val="bottom"/>
            <w:hideMark/>
          </w:tcPr>
          <w:p w14:paraId="2C673D50"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259</w:t>
            </w:r>
          </w:p>
        </w:tc>
        <w:tc>
          <w:tcPr>
            <w:tcW w:w="0" w:type="auto"/>
            <w:tcBorders>
              <w:top w:val="nil"/>
              <w:left w:val="nil"/>
              <w:bottom w:val="nil"/>
              <w:right w:val="nil"/>
            </w:tcBorders>
            <w:shd w:val="clear" w:color="auto" w:fill="auto"/>
            <w:noWrap/>
            <w:vAlign w:val="bottom"/>
            <w:hideMark/>
          </w:tcPr>
          <w:p w14:paraId="0FA7DF3C"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280</w:t>
            </w:r>
          </w:p>
        </w:tc>
        <w:tc>
          <w:tcPr>
            <w:tcW w:w="0" w:type="auto"/>
            <w:tcBorders>
              <w:top w:val="nil"/>
              <w:left w:val="nil"/>
              <w:bottom w:val="nil"/>
              <w:right w:val="nil"/>
            </w:tcBorders>
            <w:shd w:val="clear" w:color="auto" w:fill="auto"/>
            <w:noWrap/>
            <w:vAlign w:val="bottom"/>
            <w:hideMark/>
          </w:tcPr>
          <w:p w14:paraId="362BCAFA" w14:textId="60CB144A" w:rsidR="00337376" w:rsidRPr="00337376" w:rsidRDefault="00337376" w:rsidP="00337376">
            <w:pPr>
              <w:spacing w:after="0" w:line="240" w:lineRule="auto"/>
              <w:jc w:val="right"/>
              <w:rPr>
                <w:rFonts w:cs="Arial"/>
                <w:color w:val="000000"/>
                <w:sz w:val="20"/>
              </w:rPr>
            </w:pPr>
            <w:r w:rsidRPr="00337376">
              <w:rPr>
                <w:rFonts w:cs="Arial"/>
                <w:color w:val="000000"/>
                <w:sz w:val="20"/>
              </w:rPr>
              <w:t>270</w:t>
            </w:r>
          </w:p>
        </w:tc>
        <w:tc>
          <w:tcPr>
            <w:tcW w:w="0" w:type="auto"/>
            <w:tcBorders>
              <w:top w:val="nil"/>
              <w:left w:val="nil"/>
              <w:bottom w:val="nil"/>
              <w:right w:val="nil"/>
            </w:tcBorders>
            <w:shd w:val="clear" w:color="auto" w:fill="auto"/>
            <w:noWrap/>
            <w:vAlign w:val="bottom"/>
            <w:hideMark/>
          </w:tcPr>
          <w:p w14:paraId="4916ABEA"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265</w:t>
            </w:r>
          </w:p>
        </w:tc>
        <w:tc>
          <w:tcPr>
            <w:tcW w:w="0" w:type="auto"/>
            <w:tcBorders>
              <w:top w:val="nil"/>
              <w:left w:val="nil"/>
              <w:bottom w:val="nil"/>
              <w:right w:val="nil"/>
            </w:tcBorders>
            <w:shd w:val="clear" w:color="auto" w:fill="auto"/>
            <w:noWrap/>
            <w:vAlign w:val="bottom"/>
            <w:hideMark/>
          </w:tcPr>
          <w:p w14:paraId="05CE1AB6"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288</w:t>
            </w:r>
          </w:p>
        </w:tc>
        <w:tc>
          <w:tcPr>
            <w:tcW w:w="0" w:type="auto"/>
            <w:tcBorders>
              <w:top w:val="nil"/>
              <w:left w:val="nil"/>
              <w:bottom w:val="nil"/>
              <w:right w:val="nil"/>
            </w:tcBorders>
            <w:shd w:val="clear" w:color="auto" w:fill="auto"/>
            <w:noWrap/>
            <w:vAlign w:val="bottom"/>
            <w:hideMark/>
          </w:tcPr>
          <w:p w14:paraId="4EE35E68"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306</w:t>
            </w:r>
          </w:p>
        </w:tc>
        <w:tc>
          <w:tcPr>
            <w:tcW w:w="0" w:type="auto"/>
            <w:tcBorders>
              <w:top w:val="nil"/>
              <w:left w:val="nil"/>
              <w:bottom w:val="nil"/>
              <w:right w:val="nil"/>
            </w:tcBorders>
            <w:shd w:val="clear" w:color="auto" w:fill="auto"/>
            <w:noWrap/>
            <w:vAlign w:val="bottom"/>
            <w:hideMark/>
          </w:tcPr>
          <w:p w14:paraId="03A98EA8" w14:textId="77777777" w:rsidR="00337376" w:rsidRPr="00337376" w:rsidRDefault="00337376" w:rsidP="00337376">
            <w:pPr>
              <w:spacing w:after="0" w:line="240" w:lineRule="auto"/>
              <w:jc w:val="right"/>
              <w:rPr>
                <w:rFonts w:cs="Arial"/>
                <w:color w:val="000000"/>
                <w:sz w:val="20"/>
              </w:rPr>
            </w:pPr>
            <w:r w:rsidRPr="00337376">
              <w:rPr>
                <w:rFonts w:cs="Arial"/>
                <w:color w:val="000000"/>
                <w:sz w:val="20"/>
              </w:rPr>
              <w:t>315</w:t>
            </w:r>
          </w:p>
        </w:tc>
      </w:tr>
    </w:tbl>
    <w:p w14:paraId="683294AD" w14:textId="52E34D43" w:rsidR="00DE26E9" w:rsidRPr="00C64973" w:rsidRDefault="00DE26E9" w:rsidP="00F306FF">
      <w:pPr>
        <w:spacing w:after="0" w:line="240" w:lineRule="auto"/>
        <w:rPr>
          <w:rFonts w:cs="Arial"/>
          <w:sz w:val="20"/>
        </w:rPr>
      </w:pPr>
    </w:p>
    <w:p w14:paraId="3B8991D9" w14:textId="2ECB2F04" w:rsidR="00337376" w:rsidRDefault="00337376" w:rsidP="008310FD">
      <w:pPr>
        <w:rPr>
          <w:noProof/>
        </w:rPr>
      </w:pPr>
    </w:p>
    <w:p w14:paraId="354D778E" w14:textId="503209D2" w:rsidR="00337376" w:rsidRDefault="00337376" w:rsidP="008310FD">
      <w:pPr>
        <w:rPr>
          <w:noProof/>
        </w:rPr>
      </w:pPr>
    </w:p>
    <w:p w14:paraId="039E97A9" w14:textId="77777777" w:rsidR="00337376" w:rsidRDefault="00337376" w:rsidP="008310FD">
      <w:pPr>
        <w:rPr>
          <w:noProof/>
        </w:rPr>
      </w:pPr>
    </w:p>
    <w:p w14:paraId="09004D5C" w14:textId="194E9A51" w:rsidR="00D1303F" w:rsidRPr="00C64973" w:rsidRDefault="00D1303F" w:rsidP="008310FD">
      <w:pPr>
        <w:rPr>
          <w:noProof/>
        </w:rPr>
      </w:pPr>
    </w:p>
    <w:p w14:paraId="192FE68F" w14:textId="159A895F" w:rsidR="00EC396D" w:rsidRPr="00C64973" w:rsidRDefault="00A0693E" w:rsidP="008310FD">
      <w:pPr>
        <w:rPr>
          <w:noProof/>
        </w:rPr>
      </w:pPr>
      <w:r w:rsidRPr="00C64973">
        <w:rPr>
          <w:sz w:val="20"/>
        </w:rPr>
        <w:t>Bar Graph 2</w:t>
      </w:r>
      <w:r w:rsidR="00EC396D" w:rsidRPr="00C64973">
        <w:rPr>
          <w:sz w:val="20"/>
        </w:rPr>
        <w:t>: Full-&amp;-Part-time COMS</w:t>
      </w:r>
    </w:p>
    <w:p w14:paraId="33A8B6E7" w14:textId="3A194A0A" w:rsidR="00E877E4" w:rsidRPr="00337376" w:rsidRDefault="00337376" w:rsidP="00337376">
      <w:pPr>
        <w:spacing w:after="0" w:line="240" w:lineRule="auto"/>
        <w:rPr>
          <w:rFonts w:cs="Arial"/>
          <w:sz w:val="20"/>
        </w:rPr>
      </w:pPr>
      <w:r w:rsidRPr="00337376">
        <w:rPr>
          <w:rFonts w:cs="Arial"/>
          <w:sz w:val="20"/>
        </w:rPr>
        <w:t xml:space="preserve">The data indicates that there are more full-time COMS than part-time.   Although down in 2015, and again slightly in 2017, the trend has been that the full-time COMS has slowly and steadily increased.  The data for part-time COMS is more </w:t>
      </w:r>
      <w:r w:rsidR="007873BB" w:rsidRPr="00337376">
        <w:rPr>
          <w:rFonts w:cs="Arial"/>
          <w:sz w:val="20"/>
        </w:rPr>
        <w:t>erratic</w:t>
      </w:r>
      <w:r w:rsidRPr="00337376">
        <w:rPr>
          <w:rFonts w:cs="Arial"/>
          <w:sz w:val="20"/>
        </w:rPr>
        <w:t xml:space="preserve"> over time but increasing steadily over the last several years and a total of 130 PT COMS in both 2019 and 2020.</w:t>
      </w:r>
    </w:p>
    <w:tbl>
      <w:tblPr>
        <w:tblW w:w="0" w:type="auto"/>
        <w:tblLook w:val="04A0" w:firstRow="1" w:lastRow="0" w:firstColumn="1" w:lastColumn="0" w:noHBand="0" w:noVBand="1"/>
      </w:tblPr>
      <w:tblGrid>
        <w:gridCol w:w="1683"/>
        <w:gridCol w:w="222"/>
        <w:gridCol w:w="222"/>
        <w:gridCol w:w="661"/>
        <w:gridCol w:w="661"/>
        <w:gridCol w:w="661"/>
        <w:gridCol w:w="661"/>
        <w:gridCol w:w="661"/>
        <w:gridCol w:w="661"/>
        <w:gridCol w:w="661"/>
        <w:gridCol w:w="661"/>
        <w:gridCol w:w="661"/>
        <w:gridCol w:w="661"/>
        <w:gridCol w:w="661"/>
      </w:tblGrid>
      <w:tr w:rsidR="00337376" w:rsidRPr="00337376" w14:paraId="61A4647B" w14:textId="77777777" w:rsidTr="00337376">
        <w:trPr>
          <w:trHeight w:val="255"/>
        </w:trPr>
        <w:tc>
          <w:tcPr>
            <w:tcW w:w="0" w:type="auto"/>
            <w:tcBorders>
              <w:top w:val="nil"/>
              <w:left w:val="nil"/>
              <w:bottom w:val="nil"/>
              <w:right w:val="nil"/>
            </w:tcBorders>
            <w:shd w:val="clear" w:color="FFFF00" w:fill="FFFF00"/>
            <w:noWrap/>
            <w:vAlign w:val="bottom"/>
            <w:hideMark/>
          </w:tcPr>
          <w:p w14:paraId="2768FE12" w14:textId="00E3105B"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1E7D155" w14:textId="77777777"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55666B9" w14:textId="77777777" w:rsidR="00337376" w:rsidRPr="00337376" w:rsidRDefault="00337376" w:rsidP="00337376">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EAF8D91" w14:textId="77777777" w:rsidR="00337376" w:rsidRPr="00337376" w:rsidRDefault="00337376" w:rsidP="00337376">
            <w:pPr>
              <w:spacing w:after="0" w:line="240" w:lineRule="auto"/>
              <w:jc w:val="right"/>
              <w:rPr>
                <w:rFonts w:cs="Arial"/>
                <w:sz w:val="20"/>
              </w:rPr>
            </w:pPr>
            <w:r w:rsidRPr="00337376">
              <w:rPr>
                <w:rFonts w:cs="Arial"/>
                <w:sz w:val="20"/>
              </w:rPr>
              <w:t>2010</w:t>
            </w:r>
          </w:p>
        </w:tc>
        <w:tc>
          <w:tcPr>
            <w:tcW w:w="0" w:type="auto"/>
            <w:tcBorders>
              <w:top w:val="nil"/>
              <w:left w:val="nil"/>
              <w:bottom w:val="nil"/>
              <w:right w:val="nil"/>
            </w:tcBorders>
            <w:shd w:val="clear" w:color="auto" w:fill="auto"/>
            <w:noWrap/>
            <w:vAlign w:val="bottom"/>
            <w:hideMark/>
          </w:tcPr>
          <w:p w14:paraId="3FD6D3A9" w14:textId="6494D056" w:rsidR="00337376" w:rsidRPr="00337376" w:rsidRDefault="007873BB" w:rsidP="00337376">
            <w:pPr>
              <w:spacing w:after="0" w:line="240" w:lineRule="auto"/>
              <w:jc w:val="right"/>
              <w:rPr>
                <w:rFonts w:cs="Arial"/>
                <w:sz w:val="20"/>
              </w:rPr>
            </w:pPr>
            <w:r w:rsidRPr="00C64973">
              <w:rPr>
                <w:noProof/>
                <w:sz w:val="20"/>
              </w:rPr>
              <w:drawing>
                <wp:anchor distT="0" distB="0" distL="114300" distR="114300" simplePos="0" relativeHeight="251751936" behindDoc="0" locked="0" layoutInCell="1" allowOverlap="1" wp14:anchorId="05F91301" wp14:editId="2E83F9A0">
                  <wp:simplePos x="0" y="0"/>
                  <wp:positionH relativeFrom="margin">
                    <wp:posOffset>-2246630</wp:posOffset>
                  </wp:positionH>
                  <wp:positionV relativeFrom="page">
                    <wp:posOffset>-1593850</wp:posOffset>
                  </wp:positionV>
                  <wp:extent cx="6857365" cy="3028950"/>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7365" cy="3028950"/>
                          </a:xfrm>
                          <a:prstGeom prst="rect">
                            <a:avLst/>
                          </a:prstGeom>
                          <a:noFill/>
                        </pic:spPr>
                      </pic:pic>
                    </a:graphicData>
                  </a:graphic>
                  <wp14:sizeRelH relativeFrom="margin">
                    <wp14:pctWidth>0</wp14:pctWidth>
                  </wp14:sizeRelH>
                  <wp14:sizeRelV relativeFrom="margin">
                    <wp14:pctHeight>0</wp14:pctHeight>
                  </wp14:sizeRelV>
                </wp:anchor>
              </w:drawing>
            </w:r>
            <w:r w:rsidR="00337376" w:rsidRPr="00337376">
              <w:rPr>
                <w:rFonts w:cs="Arial"/>
                <w:sz w:val="20"/>
              </w:rPr>
              <w:t>2011</w:t>
            </w:r>
          </w:p>
        </w:tc>
        <w:tc>
          <w:tcPr>
            <w:tcW w:w="0" w:type="auto"/>
            <w:tcBorders>
              <w:top w:val="nil"/>
              <w:left w:val="nil"/>
              <w:bottom w:val="nil"/>
              <w:right w:val="nil"/>
            </w:tcBorders>
            <w:shd w:val="clear" w:color="auto" w:fill="auto"/>
            <w:noWrap/>
            <w:vAlign w:val="bottom"/>
            <w:hideMark/>
          </w:tcPr>
          <w:p w14:paraId="2F82C806" w14:textId="354ECFA6" w:rsidR="00337376" w:rsidRPr="00337376" w:rsidRDefault="00337376" w:rsidP="00337376">
            <w:pPr>
              <w:spacing w:after="0" w:line="240" w:lineRule="auto"/>
              <w:jc w:val="right"/>
              <w:rPr>
                <w:rFonts w:cs="Arial"/>
                <w:sz w:val="20"/>
              </w:rPr>
            </w:pPr>
            <w:r w:rsidRPr="00337376">
              <w:rPr>
                <w:rFonts w:cs="Arial"/>
                <w:sz w:val="20"/>
              </w:rPr>
              <w:t>2012</w:t>
            </w:r>
          </w:p>
        </w:tc>
        <w:tc>
          <w:tcPr>
            <w:tcW w:w="0" w:type="auto"/>
            <w:tcBorders>
              <w:top w:val="nil"/>
              <w:left w:val="nil"/>
              <w:bottom w:val="nil"/>
              <w:right w:val="nil"/>
            </w:tcBorders>
            <w:shd w:val="clear" w:color="auto" w:fill="auto"/>
            <w:noWrap/>
            <w:vAlign w:val="bottom"/>
            <w:hideMark/>
          </w:tcPr>
          <w:p w14:paraId="4740488C" w14:textId="26BD2C43" w:rsidR="00337376" w:rsidRPr="00337376" w:rsidRDefault="00337376" w:rsidP="00337376">
            <w:pPr>
              <w:spacing w:after="0" w:line="240" w:lineRule="auto"/>
              <w:jc w:val="right"/>
              <w:rPr>
                <w:rFonts w:cs="Arial"/>
                <w:sz w:val="20"/>
              </w:rPr>
            </w:pPr>
            <w:r w:rsidRPr="00337376">
              <w:rPr>
                <w:rFonts w:cs="Arial"/>
                <w:sz w:val="20"/>
              </w:rPr>
              <w:t>2013</w:t>
            </w:r>
          </w:p>
        </w:tc>
        <w:tc>
          <w:tcPr>
            <w:tcW w:w="0" w:type="auto"/>
            <w:tcBorders>
              <w:top w:val="nil"/>
              <w:left w:val="nil"/>
              <w:bottom w:val="nil"/>
              <w:right w:val="nil"/>
            </w:tcBorders>
            <w:shd w:val="clear" w:color="auto" w:fill="auto"/>
            <w:noWrap/>
            <w:vAlign w:val="bottom"/>
            <w:hideMark/>
          </w:tcPr>
          <w:p w14:paraId="082C0FCF" w14:textId="3E339A97" w:rsidR="00337376" w:rsidRPr="00337376" w:rsidRDefault="00337376" w:rsidP="00337376">
            <w:pPr>
              <w:spacing w:after="0" w:line="240" w:lineRule="auto"/>
              <w:jc w:val="right"/>
              <w:rPr>
                <w:rFonts w:cs="Arial"/>
                <w:sz w:val="20"/>
              </w:rPr>
            </w:pPr>
            <w:r w:rsidRPr="00337376">
              <w:rPr>
                <w:rFonts w:cs="Arial"/>
                <w:sz w:val="20"/>
              </w:rPr>
              <w:t>2014</w:t>
            </w:r>
          </w:p>
        </w:tc>
        <w:tc>
          <w:tcPr>
            <w:tcW w:w="0" w:type="auto"/>
            <w:tcBorders>
              <w:top w:val="nil"/>
              <w:left w:val="nil"/>
              <w:bottom w:val="nil"/>
              <w:right w:val="nil"/>
            </w:tcBorders>
            <w:shd w:val="clear" w:color="auto" w:fill="auto"/>
            <w:noWrap/>
            <w:vAlign w:val="bottom"/>
            <w:hideMark/>
          </w:tcPr>
          <w:p w14:paraId="1D672FB9" w14:textId="5DE7CE6C" w:rsidR="00337376" w:rsidRPr="00337376" w:rsidRDefault="00337376" w:rsidP="00337376">
            <w:pPr>
              <w:spacing w:after="0" w:line="240" w:lineRule="auto"/>
              <w:jc w:val="right"/>
              <w:rPr>
                <w:rFonts w:cs="Arial"/>
                <w:sz w:val="20"/>
              </w:rPr>
            </w:pPr>
            <w:r w:rsidRPr="00337376">
              <w:rPr>
                <w:rFonts w:cs="Arial"/>
                <w:sz w:val="20"/>
              </w:rPr>
              <w:t>2015</w:t>
            </w:r>
          </w:p>
        </w:tc>
        <w:tc>
          <w:tcPr>
            <w:tcW w:w="0" w:type="auto"/>
            <w:tcBorders>
              <w:top w:val="nil"/>
              <w:left w:val="nil"/>
              <w:bottom w:val="nil"/>
              <w:right w:val="nil"/>
            </w:tcBorders>
            <w:shd w:val="clear" w:color="auto" w:fill="auto"/>
            <w:noWrap/>
            <w:vAlign w:val="bottom"/>
            <w:hideMark/>
          </w:tcPr>
          <w:p w14:paraId="1A9E968A" w14:textId="0E4D3B9B" w:rsidR="00337376" w:rsidRPr="00337376" w:rsidRDefault="00337376" w:rsidP="00337376">
            <w:pPr>
              <w:spacing w:after="0" w:line="240" w:lineRule="auto"/>
              <w:jc w:val="right"/>
              <w:rPr>
                <w:rFonts w:cs="Arial"/>
                <w:sz w:val="20"/>
              </w:rPr>
            </w:pPr>
            <w:r w:rsidRPr="00337376">
              <w:rPr>
                <w:rFonts w:cs="Arial"/>
                <w:sz w:val="20"/>
              </w:rPr>
              <w:t>2016</w:t>
            </w:r>
          </w:p>
        </w:tc>
        <w:tc>
          <w:tcPr>
            <w:tcW w:w="0" w:type="auto"/>
            <w:tcBorders>
              <w:top w:val="nil"/>
              <w:left w:val="nil"/>
              <w:bottom w:val="nil"/>
              <w:right w:val="nil"/>
            </w:tcBorders>
            <w:shd w:val="clear" w:color="auto" w:fill="auto"/>
            <w:noWrap/>
            <w:vAlign w:val="bottom"/>
            <w:hideMark/>
          </w:tcPr>
          <w:p w14:paraId="5101E6CD" w14:textId="517A8539" w:rsidR="00337376" w:rsidRPr="00337376" w:rsidRDefault="00337376" w:rsidP="00337376">
            <w:pPr>
              <w:spacing w:after="0" w:line="240" w:lineRule="auto"/>
              <w:jc w:val="right"/>
              <w:rPr>
                <w:rFonts w:cs="Arial"/>
                <w:sz w:val="20"/>
              </w:rPr>
            </w:pPr>
            <w:r w:rsidRPr="00337376">
              <w:rPr>
                <w:rFonts w:cs="Arial"/>
                <w:sz w:val="20"/>
              </w:rPr>
              <w:t>2017</w:t>
            </w:r>
          </w:p>
        </w:tc>
        <w:tc>
          <w:tcPr>
            <w:tcW w:w="0" w:type="auto"/>
            <w:tcBorders>
              <w:top w:val="nil"/>
              <w:left w:val="nil"/>
              <w:bottom w:val="nil"/>
              <w:right w:val="nil"/>
            </w:tcBorders>
            <w:shd w:val="clear" w:color="auto" w:fill="auto"/>
            <w:noWrap/>
            <w:vAlign w:val="bottom"/>
            <w:hideMark/>
          </w:tcPr>
          <w:p w14:paraId="510028ED" w14:textId="77777777" w:rsidR="00337376" w:rsidRPr="00337376" w:rsidRDefault="00337376" w:rsidP="00337376">
            <w:pPr>
              <w:spacing w:after="0" w:line="240" w:lineRule="auto"/>
              <w:jc w:val="right"/>
              <w:rPr>
                <w:rFonts w:cs="Arial"/>
                <w:sz w:val="20"/>
              </w:rPr>
            </w:pPr>
            <w:r w:rsidRPr="00337376">
              <w:rPr>
                <w:rFonts w:cs="Arial"/>
                <w:sz w:val="20"/>
              </w:rPr>
              <w:t>2018</w:t>
            </w:r>
          </w:p>
        </w:tc>
        <w:tc>
          <w:tcPr>
            <w:tcW w:w="0" w:type="auto"/>
            <w:tcBorders>
              <w:top w:val="nil"/>
              <w:left w:val="nil"/>
              <w:bottom w:val="nil"/>
              <w:right w:val="nil"/>
            </w:tcBorders>
            <w:shd w:val="clear" w:color="auto" w:fill="auto"/>
            <w:noWrap/>
            <w:vAlign w:val="bottom"/>
            <w:hideMark/>
          </w:tcPr>
          <w:p w14:paraId="0E2EFFDD" w14:textId="77777777" w:rsidR="00337376" w:rsidRPr="00337376" w:rsidRDefault="00337376" w:rsidP="00337376">
            <w:pPr>
              <w:spacing w:after="0" w:line="240" w:lineRule="auto"/>
              <w:jc w:val="right"/>
              <w:rPr>
                <w:rFonts w:cs="Arial"/>
                <w:sz w:val="20"/>
              </w:rPr>
            </w:pPr>
            <w:r w:rsidRPr="00337376">
              <w:rPr>
                <w:rFonts w:cs="Arial"/>
                <w:sz w:val="20"/>
              </w:rPr>
              <w:t>2019</w:t>
            </w:r>
          </w:p>
        </w:tc>
        <w:tc>
          <w:tcPr>
            <w:tcW w:w="0" w:type="auto"/>
            <w:tcBorders>
              <w:top w:val="nil"/>
              <w:left w:val="nil"/>
              <w:bottom w:val="nil"/>
              <w:right w:val="nil"/>
            </w:tcBorders>
            <w:shd w:val="clear" w:color="auto" w:fill="auto"/>
            <w:noWrap/>
            <w:vAlign w:val="bottom"/>
            <w:hideMark/>
          </w:tcPr>
          <w:p w14:paraId="3C1A8D1D" w14:textId="77777777" w:rsidR="00337376" w:rsidRPr="00337376" w:rsidRDefault="00337376" w:rsidP="00337376">
            <w:pPr>
              <w:spacing w:after="0" w:line="240" w:lineRule="auto"/>
              <w:jc w:val="right"/>
              <w:rPr>
                <w:rFonts w:cs="Arial"/>
                <w:sz w:val="20"/>
              </w:rPr>
            </w:pPr>
            <w:r w:rsidRPr="00337376">
              <w:rPr>
                <w:rFonts w:cs="Arial"/>
                <w:sz w:val="20"/>
              </w:rPr>
              <w:t>2020</w:t>
            </w:r>
          </w:p>
        </w:tc>
      </w:tr>
      <w:tr w:rsidR="00337376" w:rsidRPr="00337376" w14:paraId="1A1A338C" w14:textId="77777777" w:rsidTr="00337376">
        <w:trPr>
          <w:trHeight w:val="255"/>
        </w:trPr>
        <w:tc>
          <w:tcPr>
            <w:tcW w:w="0" w:type="auto"/>
            <w:tcBorders>
              <w:top w:val="nil"/>
              <w:left w:val="nil"/>
              <w:bottom w:val="nil"/>
              <w:right w:val="nil"/>
            </w:tcBorders>
            <w:shd w:val="clear" w:color="auto" w:fill="auto"/>
            <w:vAlign w:val="bottom"/>
            <w:hideMark/>
          </w:tcPr>
          <w:p w14:paraId="7AAF9F71" w14:textId="77777777" w:rsidR="00337376" w:rsidRPr="00337376" w:rsidRDefault="00337376" w:rsidP="00337376">
            <w:pPr>
              <w:spacing w:after="0" w:line="240" w:lineRule="auto"/>
              <w:rPr>
                <w:rFonts w:cs="Arial"/>
                <w:sz w:val="20"/>
              </w:rPr>
            </w:pPr>
            <w:r w:rsidRPr="00337376">
              <w:rPr>
                <w:rFonts w:cs="Arial"/>
                <w:sz w:val="20"/>
              </w:rPr>
              <w:t>Full-time COMS</w:t>
            </w:r>
          </w:p>
        </w:tc>
        <w:tc>
          <w:tcPr>
            <w:tcW w:w="0" w:type="auto"/>
            <w:tcBorders>
              <w:top w:val="nil"/>
              <w:left w:val="nil"/>
              <w:bottom w:val="nil"/>
              <w:right w:val="nil"/>
            </w:tcBorders>
            <w:shd w:val="clear" w:color="auto" w:fill="auto"/>
            <w:noWrap/>
            <w:vAlign w:val="bottom"/>
            <w:hideMark/>
          </w:tcPr>
          <w:p w14:paraId="3E84AD4F" w14:textId="77777777"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2F981E6" w14:textId="77777777" w:rsidR="00337376" w:rsidRPr="00337376" w:rsidRDefault="00337376" w:rsidP="00337376">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8F911FF" w14:textId="77777777" w:rsidR="00337376" w:rsidRPr="00337376" w:rsidRDefault="00337376" w:rsidP="00337376">
            <w:pPr>
              <w:spacing w:after="0" w:line="240" w:lineRule="auto"/>
              <w:jc w:val="right"/>
              <w:rPr>
                <w:rFonts w:cs="Arial"/>
                <w:sz w:val="20"/>
              </w:rPr>
            </w:pPr>
            <w:r w:rsidRPr="00337376">
              <w:rPr>
                <w:rFonts w:cs="Arial"/>
                <w:sz w:val="20"/>
              </w:rPr>
              <w:t>118</w:t>
            </w:r>
          </w:p>
        </w:tc>
        <w:tc>
          <w:tcPr>
            <w:tcW w:w="0" w:type="auto"/>
            <w:tcBorders>
              <w:top w:val="nil"/>
              <w:left w:val="nil"/>
              <w:bottom w:val="nil"/>
              <w:right w:val="nil"/>
            </w:tcBorders>
            <w:shd w:val="clear" w:color="auto" w:fill="auto"/>
            <w:noWrap/>
            <w:vAlign w:val="bottom"/>
            <w:hideMark/>
          </w:tcPr>
          <w:p w14:paraId="46343B61" w14:textId="512B1C10" w:rsidR="00337376" w:rsidRPr="00337376" w:rsidRDefault="00337376" w:rsidP="00337376">
            <w:pPr>
              <w:spacing w:after="0" w:line="240" w:lineRule="auto"/>
              <w:jc w:val="right"/>
              <w:rPr>
                <w:rFonts w:cs="Arial"/>
                <w:sz w:val="20"/>
              </w:rPr>
            </w:pPr>
            <w:r w:rsidRPr="00337376">
              <w:rPr>
                <w:rFonts w:cs="Arial"/>
                <w:sz w:val="20"/>
              </w:rPr>
              <w:t>126</w:t>
            </w:r>
          </w:p>
        </w:tc>
        <w:tc>
          <w:tcPr>
            <w:tcW w:w="0" w:type="auto"/>
            <w:tcBorders>
              <w:top w:val="nil"/>
              <w:left w:val="nil"/>
              <w:bottom w:val="nil"/>
              <w:right w:val="nil"/>
            </w:tcBorders>
            <w:shd w:val="clear" w:color="auto" w:fill="auto"/>
            <w:noWrap/>
            <w:vAlign w:val="bottom"/>
            <w:hideMark/>
          </w:tcPr>
          <w:p w14:paraId="5CD6DD9D" w14:textId="77777777" w:rsidR="00337376" w:rsidRPr="00337376" w:rsidRDefault="00337376" w:rsidP="00337376">
            <w:pPr>
              <w:spacing w:after="0" w:line="240" w:lineRule="auto"/>
              <w:jc w:val="right"/>
              <w:rPr>
                <w:rFonts w:cs="Arial"/>
                <w:sz w:val="20"/>
              </w:rPr>
            </w:pPr>
            <w:r w:rsidRPr="00337376">
              <w:rPr>
                <w:rFonts w:cs="Arial"/>
                <w:sz w:val="20"/>
              </w:rPr>
              <w:t>131</w:t>
            </w:r>
          </w:p>
        </w:tc>
        <w:tc>
          <w:tcPr>
            <w:tcW w:w="0" w:type="auto"/>
            <w:tcBorders>
              <w:top w:val="nil"/>
              <w:left w:val="nil"/>
              <w:bottom w:val="nil"/>
              <w:right w:val="nil"/>
            </w:tcBorders>
            <w:shd w:val="clear" w:color="auto" w:fill="auto"/>
            <w:noWrap/>
            <w:vAlign w:val="bottom"/>
            <w:hideMark/>
          </w:tcPr>
          <w:p w14:paraId="3A00C706" w14:textId="77777777" w:rsidR="00337376" w:rsidRPr="00337376" w:rsidRDefault="00337376" w:rsidP="00337376">
            <w:pPr>
              <w:spacing w:after="0" w:line="240" w:lineRule="auto"/>
              <w:jc w:val="right"/>
              <w:rPr>
                <w:rFonts w:cs="Arial"/>
                <w:sz w:val="20"/>
              </w:rPr>
            </w:pPr>
            <w:r w:rsidRPr="00337376">
              <w:rPr>
                <w:rFonts w:cs="Arial"/>
                <w:sz w:val="20"/>
              </w:rPr>
              <w:t>130</w:t>
            </w:r>
          </w:p>
        </w:tc>
        <w:tc>
          <w:tcPr>
            <w:tcW w:w="0" w:type="auto"/>
            <w:tcBorders>
              <w:top w:val="nil"/>
              <w:left w:val="nil"/>
              <w:bottom w:val="nil"/>
              <w:right w:val="nil"/>
            </w:tcBorders>
            <w:shd w:val="clear" w:color="auto" w:fill="auto"/>
            <w:noWrap/>
            <w:vAlign w:val="bottom"/>
            <w:hideMark/>
          </w:tcPr>
          <w:p w14:paraId="4ADFF5BD" w14:textId="77777777" w:rsidR="00337376" w:rsidRPr="00337376" w:rsidRDefault="00337376" w:rsidP="00337376">
            <w:pPr>
              <w:spacing w:after="0" w:line="240" w:lineRule="auto"/>
              <w:jc w:val="right"/>
              <w:rPr>
                <w:rFonts w:cs="Arial"/>
                <w:sz w:val="20"/>
              </w:rPr>
            </w:pPr>
            <w:r w:rsidRPr="00337376">
              <w:rPr>
                <w:rFonts w:cs="Arial"/>
                <w:sz w:val="20"/>
              </w:rPr>
              <w:t>162</w:t>
            </w:r>
          </w:p>
        </w:tc>
        <w:tc>
          <w:tcPr>
            <w:tcW w:w="0" w:type="auto"/>
            <w:tcBorders>
              <w:top w:val="nil"/>
              <w:left w:val="nil"/>
              <w:bottom w:val="nil"/>
              <w:right w:val="nil"/>
            </w:tcBorders>
            <w:shd w:val="clear" w:color="auto" w:fill="auto"/>
            <w:noWrap/>
            <w:vAlign w:val="bottom"/>
            <w:hideMark/>
          </w:tcPr>
          <w:p w14:paraId="0CE33538" w14:textId="77777777" w:rsidR="00337376" w:rsidRPr="00337376" w:rsidRDefault="00337376" w:rsidP="00337376">
            <w:pPr>
              <w:spacing w:after="0" w:line="240" w:lineRule="auto"/>
              <w:jc w:val="right"/>
              <w:rPr>
                <w:rFonts w:cs="Arial"/>
                <w:sz w:val="20"/>
              </w:rPr>
            </w:pPr>
            <w:r w:rsidRPr="00337376">
              <w:rPr>
                <w:rFonts w:cs="Arial"/>
                <w:sz w:val="20"/>
              </w:rPr>
              <w:t>154</w:t>
            </w:r>
          </w:p>
        </w:tc>
        <w:tc>
          <w:tcPr>
            <w:tcW w:w="0" w:type="auto"/>
            <w:tcBorders>
              <w:top w:val="nil"/>
              <w:left w:val="nil"/>
              <w:bottom w:val="nil"/>
              <w:right w:val="nil"/>
            </w:tcBorders>
            <w:shd w:val="clear" w:color="auto" w:fill="auto"/>
            <w:noWrap/>
            <w:vAlign w:val="bottom"/>
            <w:hideMark/>
          </w:tcPr>
          <w:p w14:paraId="037D6BDB" w14:textId="77777777" w:rsidR="00337376" w:rsidRPr="00337376" w:rsidRDefault="00337376" w:rsidP="00337376">
            <w:pPr>
              <w:spacing w:after="0" w:line="240" w:lineRule="auto"/>
              <w:jc w:val="right"/>
              <w:rPr>
                <w:rFonts w:cs="Arial"/>
                <w:sz w:val="20"/>
              </w:rPr>
            </w:pPr>
            <w:r w:rsidRPr="00337376">
              <w:rPr>
                <w:rFonts w:cs="Arial"/>
                <w:sz w:val="20"/>
              </w:rPr>
              <w:t>162</w:t>
            </w:r>
          </w:p>
        </w:tc>
        <w:tc>
          <w:tcPr>
            <w:tcW w:w="0" w:type="auto"/>
            <w:tcBorders>
              <w:top w:val="nil"/>
              <w:left w:val="nil"/>
              <w:bottom w:val="nil"/>
              <w:right w:val="nil"/>
            </w:tcBorders>
            <w:shd w:val="clear" w:color="auto" w:fill="auto"/>
            <w:noWrap/>
            <w:vAlign w:val="bottom"/>
            <w:hideMark/>
          </w:tcPr>
          <w:p w14:paraId="7D9F611C" w14:textId="77777777" w:rsidR="00337376" w:rsidRPr="00337376" w:rsidRDefault="00337376" w:rsidP="00337376">
            <w:pPr>
              <w:spacing w:after="0" w:line="240" w:lineRule="auto"/>
              <w:jc w:val="right"/>
              <w:rPr>
                <w:rFonts w:cs="Arial"/>
                <w:sz w:val="20"/>
              </w:rPr>
            </w:pPr>
            <w:r w:rsidRPr="00337376">
              <w:rPr>
                <w:rFonts w:cs="Arial"/>
                <w:sz w:val="20"/>
              </w:rPr>
              <w:t>160</w:t>
            </w:r>
          </w:p>
        </w:tc>
        <w:tc>
          <w:tcPr>
            <w:tcW w:w="0" w:type="auto"/>
            <w:tcBorders>
              <w:top w:val="nil"/>
              <w:left w:val="nil"/>
              <w:bottom w:val="nil"/>
              <w:right w:val="nil"/>
            </w:tcBorders>
            <w:shd w:val="clear" w:color="auto" w:fill="auto"/>
            <w:noWrap/>
            <w:vAlign w:val="bottom"/>
            <w:hideMark/>
          </w:tcPr>
          <w:p w14:paraId="665D63FC" w14:textId="77777777" w:rsidR="00337376" w:rsidRPr="00337376" w:rsidRDefault="00337376" w:rsidP="00337376">
            <w:pPr>
              <w:spacing w:after="0" w:line="240" w:lineRule="auto"/>
              <w:jc w:val="right"/>
              <w:rPr>
                <w:rFonts w:cs="Arial"/>
                <w:sz w:val="20"/>
              </w:rPr>
            </w:pPr>
            <w:r w:rsidRPr="00337376">
              <w:rPr>
                <w:rFonts w:cs="Arial"/>
                <w:sz w:val="20"/>
              </w:rPr>
              <w:t>173</w:t>
            </w:r>
          </w:p>
        </w:tc>
        <w:tc>
          <w:tcPr>
            <w:tcW w:w="0" w:type="auto"/>
            <w:tcBorders>
              <w:top w:val="nil"/>
              <w:left w:val="nil"/>
              <w:bottom w:val="nil"/>
              <w:right w:val="nil"/>
            </w:tcBorders>
            <w:shd w:val="clear" w:color="auto" w:fill="auto"/>
            <w:noWrap/>
            <w:vAlign w:val="bottom"/>
            <w:hideMark/>
          </w:tcPr>
          <w:p w14:paraId="27D19B48" w14:textId="77777777" w:rsidR="00337376" w:rsidRPr="00337376" w:rsidRDefault="00337376" w:rsidP="00337376">
            <w:pPr>
              <w:spacing w:after="0" w:line="240" w:lineRule="auto"/>
              <w:jc w:val="right"/>
              <w:rPr>
                <w:rFonts w:cs="Arial"/>
                <w:sz w:val="20"/>
              </w:rPr>
            </w:pPr>
            <w:r w:rsidRPr="00337376">
              <w:rPr>
                <w:rFonts w:cs="Arial"/>
                <w:sz w:val="20"/>
              </w:rPr>
              <w:t>176</w:t>
            </w:r>
          </w:p>
        </w:tc>
        <w:tc>
          <w:tcPr>
            <w:tcW w:w="0" w:type="auto"/>
            <w:tcBorders>
              <w:top w:val="nil"/>
              <w:left w:val="nil"/>
              <w:bottom w:val="nil"/>
              <w:right w:val="nil"/>
            </w:tcBorders>
            <w:shd w:val="clear" w:color="auto" w:fill="auto"/>
            <w:noWrap/>
            <w:vAlign w:val="bottom"/>
            <w:hideMark/>
          </w:tcPr>
          <w:p w14:paraId="2F3EDFBD" w14:textId="77777777" w:rsidR="00337376" w:rsidRPr="00337376" w:rsidRDefault="00337376" w:rsidP="00337376">
            <w:pPr>
              <w:spacing w:after="0" w:line="240" w:lineRule="auto"/>
              <w:jc w:val="right"/>
              <w:rPr>
                <w:rFonts w:cs="Arial"/>
                <w:sz w:val="20"/>
              </w:rPr>
            </w:pPr>
            <w:r w:rsidRPr="00337376">
              <w:rPr>
                <w:rFonts w:cs="Arial"/>
                <w:sz w:val="20"/>
              </w:rPr>
              <w:t>185</w:t>
            </w:r>
          </w:p>
        </w:tc>
      </w:tr>
      <w:tr w:rsidR="00337376" w:rsidRPr="00337376" w14:paraId="2AD06656" w14:textId="77777777" w:rsidTr="00337376">
        <w:trPr>
          <w:trHeight w:val="255"/>
        </w:trPr>
        <w:tc>
          <w:tcPr>
            <w:tcW w:w="0" w:type="auto"/>
            <w:tcBorders>
              <w:top w:val="nil"/>
              <w:left w:val="nil"/>
              <w:bottom w:val="nil"/>
              <w:right w:val="nil"/>
            </w:tcBorders>
            <w:shd w:val="clear" w:color="auto" w:fill="auto"/>
            <w:vAlign w:val="bottom"/>
            <w:hideMark/>
          </w:tcPr>
          <w:p w14:paraId="7A384C2F" w14:textId="77777777" w:rsidR="00337376" w:rsidRPr="00337376" w:rsidRDefault="00337376" w:rsidP="00337376">
            <w:pPr>
              <w:spacing w:after="0" w:line="240" w:lineRule="auto"/>
              <w:rPr>
                <w:rFonts w:cs="Arial"/>
                <w:sz w:val="20"/>
              </w:rPr>
            </w:pPr>
            <w:r w:rsidRPr="00337376">
              <w:rPr>
                <w:rFonts w:cs="Arial"/>
                <w:sz w:val="20"/>
              </w:rPr>
              <w:t>Part-time COMS</w:t>
            </w:r>
          </w:p>
        </w:tc>
        <w:tc>
          <w:tcPr>
            <w:tcW w:w="0" w:type="auto"/>
            <w:tcBorders>
              <w:top w:val="nil"/>
              <w:left w:val="nil"/>
              <w:bottom w:val="nil"/>
              <w:right w:val="nil"/>
            </w:tcBorders>
            <w:shd w:val="clear" w:color="auto" w:fill="auto"/>
            <w:noWrap/>
            <w:vAlign w:val="bottom"/>
            <w:hideMark/>
          </w:tcPr>
          <w:p w14:paraId="5CCFAE78" w14:textId="77777777" w:rsidR="00337376" w:rsidRPr="00337376" w:rsidRDefault="00337376" w:rsidP="00337376">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26651420" w14:textId="77777777" w:rsidR="00337376" w:rsidRPr="00337376" w:rsidRDefault="00337376" w:rsidP="00337376">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EC1E3FF" w14:textId="77777777" w:rsidR="00337376" w:rsidRPr="00337376" w:rsidRDefault="00337376" w:rsidP="00337376">
            <w:pPr>
              <w:spacing w:after="0" w:line="240" w:lineRule="auto"/>
              <w:jc w:val="right"/>
              <w:rPr>
                <w:rFonts w:cs="Arial"/>
                <w:sz w:val="20"/>
              </w:rPr>
            </w:pPr>
            <w:r w:rsidRPr="00337376">
              <w:rPr>
                <w:rFonts w:cs="Arial"/>
                <w:sz w:val="20"/>
              </w:rPr>
              <w:t>94</w:t>
            </w:r>
          </w:p>
        </w:tc>
        <w:tc>
          <w:tcPr>
            <w:tcW w:w="0" w:type="auto"/>
            <w:tcBorders>
              <w:top w:val="nil"/>
              <w:left w:val="nil"/>
              <w:bottom w:val="nil"/>
              <w:right w:val="nil"/>
            </w:tcBorders>
            <w:shd w:val="clear" w:color="auto" w:fill="auto"/>
            <w:noWrap/>
            <w:vAlign w:val="bottom"/>
            <w:hideMark/>
          </w:tcPr>
          <w:p w14:paraId="3F547558" w14:textId="6ECBD554" w:rsidR="00337376" w:rsidRPr="00337376" w:rsidRDefault="00337376" w:rsidP="00337376">
            <w:pPr>
              <w:spacing w:after="0" w:line="240" w:lineRule="auto"/>
              <w:jc w:val="right"/>
              <w:rPr>
                <w:rFonts w:cs="Arial"/>
                <w:sz w:val="20"/>
              </w:rPr>
            </w:pPr>
            <w:r w:rsidRPr="00337376">
              <w:rPr>
                <w:rFonts w:cs="Arial"/>
                <w:sz w:val="20"/>
              </w:rPr>
              <w:t>101</w:t>
            </w:r>
          </w:p>
        </w:tc>
        <w:tc>
          <w:tcPr>
            <w:tcW w:w="0" w:type="auto"/>
            <w:tcBorders>
              <w:top w:val="nil"/>
              <w:left w:val="nil"/>
              <w:bottom w:val="nil"/>
              <w:right w:val="nil"/>
            </w:tcBorders>
            <w:shd w:val="clear" w:color="auto" w:fill="auto"/>
            <w:noWrap/>
            <w:vAlign w:val="bottom"/>
            <w:hideMark/>
          </w:tcPr>
          <w:p w14:paraId="2626844A" w14:textId="77777777" w:rsidR="00337376" w:rsidRPr="00337376" w:rsidRDefault="00337376" w:rsidP="00337376">
            <w:pPr>
              <w:spacing w:after="0" w:line="240" w:lineRule="auto"/>
              <w:jc w:val="right"/>
              <w:rPr>
                <w:rFonts w:cs="Arial"/>
                <w:sz w:val="20"/>
              </w:rPr>
            </w:pPr>
            <w:r w:rsidRPr="00337376">
              <w:rPr>
                <w:rFonts w:cs="Arial"/>
                <w:sz w:val="20"/>
              </w:rPr>
              <w:t>122</w:t>
            </w:r>
          </w:p>
        </w:tc>
        <w:tc>
          <w:tcPr>
            <w:tcW w:w="0" w:type="auto"/>
            <w:tcBorders>
              <w:top w:val="nil"/>
              <w:left w:val="nil"/>
              <w:bottom w:val="nil"/>
              <w:right w:val="nil"/>
            </w:tcBorders>
            <w:shd w:val="clear" w:color="auto" w:fill="auto"/>
            <w:noWrap/>
            <w:vAlign w:val="bottom"/>
            <w:hideMark/>
          </w:tcPr>
          <w:p w14:paraId="2EADE420" w14:textId="77777777" w:rsidR="00337376" w:rsidRPr="00337376" w:rsidRDefault="00337376" w:rsidP="00337376">
            <w:pPr>
              <w:spacing w:after="0" w:line="240" w:lineRule="auto"/>
              <w:jc w:val="right"/>
              <w:rPr>
                <w:rFonts w:cs="Arial"/>
                <w:sz w:val="20"/>
              </w:rPr>
            </w:pPr>
            <w:r w:rsidRPr="00337376">
              <w:rPr>
                <w:rFonts w:cs="Arial"/>
                <w:sz w:val="20"/>
              </w:rPr>
              <w:t>106</w:t>
            </w:r>
          </w:p>
        </w:tc>
        <w:tc>
          <w:tcPr>
            <w:tcW w:w="0" w:type="auto"/>
            <w:tcBorders>
              <w:top w:val="nil"/>
              <w:left w:val="nil"/>
              <w:bottom w:val="nil"/>
              <w:right w:val="nil"/>
            </w:tcBorders>
            <w:shd w:val="clear" w:color="auto" w:fill="auto"/>
            <w:noWrap/>
            <w:vAlign w:val="bottom"/>
            <w:hideMark/>
          </w:tcPr>
          <w:p w14:paraId="60155FE9" w14:textId="77777777" w:rsidR="00337376" w:rsidRPr="00337376" w:rsidRDefault="00337376" w:rsidP="00337376">
            <w:pPr>
              <w:spacing w:after="0" w:line="240" w:lineRule="auto"/>
              <w:jc w:val="right"/>
              <w:rPr>
                <w:rFonts w:cs="Arial"/>
                <w:sz w:val="20"/>
              </w:rPr>
            </w:pPr>
            <w:r w:rsidRPr="00337376">
              <w:rPr>
                <w:rFonts w:cs="Arial"/>
                <w:sz w:val="20"/>
              </w:rPr>
              <w:t>97</w:t>
            </w:r>
          </w:p>
        </w:tc>
        <w:tc>
          <w:tcPr>
            <w:tcW w:w="0" w:type="auto"/>
            <w:tcBorders>
              <w:top w:val="nil"/>
              <w:left w:val="nil"/>
              <w:bottom w:val="nil"/>
              <w:right w:val="nil"/>
            </w:tcBorders>
            <w:shd w:val="clear" w:color="auto" w:fill="auto"/>
            <w:noWrap/>
            <w:vAlign w:val="bottom"/>
            <w:hideMark/>
          </w:tcPr>
          <w:p w14:paraId="2F0D6801" w14:textId="77777777" w:rsidR="00337376" w:rsidRPr="00337376" w:rsidRDefault="00337376" w:rsidP="00337376">
            <w:pPr>
              <w:spacing w:after="0" w:line="240" w:lineRule="auto"/>
              <w:jc w:val="right"/>
              <w:rPr>
                <w:rFonts w:cs="Arial"/>
                <w:sz w:val="20"/>
              </w:rPr>
            </w:pPr>
            <w:r w:rsidRPr="00337376">
              <w:rPr>
                <w:rFonts w:cs="Arial"/>
                <w:sz w:val="20"/>
              </w:rPr>
              <w:t>126</w:t>
            </w:r>
          </w:p>
        </w:tc>
        <w:tc>
          <w:tcPr>
            <w:tcW w:w="0" w:type="auto"/>
            <w:tcBorders>
              <w:top w:val="nil"/>
              <w:left w:val="nil"/>
              <w:bottom w:val="nil"/>
              <w:right w:val="nil"/>
            </w:tcBorders>
            <w:shd w:val="clear" w:color="auto" w:fill="auto"/>
            <w:noWrap/>
            <w:vAlign w:val="bottom"/>
            <w:hideMark/>
          </w:tcPr>
          <w:p w14:paraId="305BB998" w14:textId="77777777" w:rsidR="00337376" w:rsidRPr="00337376" w:rsidRDefault="00337376" w:rsidP="00337376">
            <w:pPr>
              <w:spacing w:after="0" w:line="240" w:lineRule="auto"/>
              <w:jc w:val="right"/>
              <w:rPr>
                <w:rFonts w:cs="Arial"/>
                <w:sz w:val="20"/>
              </w:rPr>
            </w:pPr>
            <w:r w:rsidRPr="00337376">
              <w:rPr>
                <w:rFonts w:cs="Arial"/>
                <w:sz w:val="20"/>
              </w:rPr>
              <w:t>108</w:t>
            </w:r>
          </w:p>
        </w:tc>
        <w:tc>
          <w:tcPr>
            <w:tcW w:w="0" w:type="auto"/>
            <w:tcBorders>
              <w:top w:val="nil"/>
              <w:left w:val="nil"/>
              <w:bottom w:val="nil"/>
              <w:right w:val="nil"/>
            </w:tcBorders>
            <w:shd w:val="clear" w:color="auto" w:fill="auto"/>
            <w:noWrap/>
            <w:vAlign w:val="bottom"/>
            <w:hideMark/>
          </w:tcPr>
          <w:p w14:paraId="49EBBDC8" w14:textId="77777777" w:rsidR="00337376" w:rsidRPr="00337376" w:rsidRDefault="00337376" w:rsidP="00337376">
            <w:pPr>
              <w:spacing w:after="0" w:line="240" w:lineRule="auto"/>
              <w:jc w:val="right"/>
              <w:rPr>
                <w:rFonts w:cs="Arial"/>
                <w:sz w:val="20"/>
              </w:rPr>
            </w:pPr>
            <w:r w:rsidRPr="00337376">
              <w:rPr>
                <w:rFonts w:cs="Arial"/>
                <w:sz w:val="20"/>
              </w:rPr>
              <w:t>105</w:t>
            </w:r>
          </w:p>
        </w:tc>
        <w:tc>
          <w:tcPr>
            <w:tcW w:w="0" w:type="auto"/>
            <w:tcBorders>
              <w:top w:val="nil"/>
              <w:left w:val="nil"/>
              <w:bottom w:val="nil"/>
              <w:right w:val="nil"/>
            </w:tcBorders>
            <w:shd w:val="clear" w:color="auto" w:fill="auto"/>
            <w:noWrap/>
            <w:vAlign w:val="bottom"/>
            <w:hideMark/>
          </w:tcPr>
          <w:p w14:paraId="73DC7905" w14:textId="77777777" w:rsidR="00337376" w:rsidRPr="00337376" w:rsidRDefault="00337376" w:rsidP="00337376">
            <w:pPr>
              <w:spacing w:after="0" w:line="240" w:lineRule="auto"/>
              <w:jc w:val="right"/>
              <w:rPr>
                <w:rFonts w:cs="Arial"/>
                <w:sz w:val="20"/>
              </w:rPr>
            </w:pPr>
            <w:r w:rsidRPr="00337376">
              <w:rPr>
                <w:rFonts w:cs="Arial"/>
                <w:sz w:val="20"/>
              </w:rPr>
              <w:t>115</w:t>
            </w:r>
          </w:p>
        </w:tc>
        <w:tc>
          <w:tcPr>
            <w:tcW w:w="0" w:type="auto"/>
            <w:tcBorders>
              <w:top w:val="nil"/>
              <w:left w:val="nil"/>
              <w:bottom w:val="nil"/>
              <w:right w:val="nil"/>
            </w:tcBorders>
            <w:shd w:val="clear" w:color="auto" w:fill="auto"/>
            <w:noWrap/>
            <w:vAlign w:val="bottom"/>
            <w:hideMark/>
          </w:tcPr>
          <w:p w14:paraId="6C1BAD13" w14:textId="77777777" w:rsidR="00337376" w:rsidRPr="00337376" w:rsidRDefault="00337376" w:rsidP="00337376">
            <w:pPr>
              <w:spacing w:after="0" w:line="240" w:lineRule="auto"/>
              <w:jc w:val="right"/>
              <w:rPr>
                <w:rFonts w:cs="Arial"/>
                <w:sz w:val="20"/>
              </w:rPr>
            </w:pPr>
            <w:r w:rsidRPr="00337376">
              <w:rPr>
                <w:rFonts w:cs="Arial"/>
                <w:sz w:val="20"/>
              </w:rPr>
              <w:t>130</w:t>
            </w:r>
          </w:p>
        </w:tc>
        <w:tc>
          <w:tcPr>
            <w:tcW w:w="0" w:type="auto"/>
            <w:tcBorders>
              <w:top w:val="nil"/>
              <w:left w:val="nil"/>
              <w:bottom w:val="nil"/>
              <w:right w:val="nil"/>
            </w:tcBorders>
            <w:shd w:val="clear" w:color="auto" w:fill="auto"/>
            <w:noWrap/>
            <w:vAlign w:val="bottom"/>
            <w:hideMark/>
          </w:tcPr>
          <w:p w14:paraId="7CCBA045" w14:textId="77777777" w:rsidR="00337376" w:rsidRPr="00337376" w:rsidRDefault="00337376" w:rsidP="00337376">
            <w:pPr>
              <w:spacing w:after="0" w:line="240" w:lineRule="auto"/>
              <w:jc w:val="right"/>
              <w:rPr>
                <w:rFonts w:cs="Arial"/>
                <w:sz w:val="20"/>
              </w:rPr>
            </w:pPr>
            <w:r w:rsidRPr="00337376">
              <w:rPr>
                <w:rFonts w:cs="Arial"/>
                <w:sz w:val="20"/>
              </w:rPr>
              <w:t>130</w:t>
            </w:r>
          </w:p>
        </w:tc>
      </w:tr>
    </w:tbl>
    <w:p w14:paraId="53EA327B" w14:textId="581225EB" w:rsidR="00AA0E20" w:rsidRPr="00C64973" w:rsidRDefault="00AA0E20" w:rsidP="00AA0E20">
      <w:pPr>
        <w:rPr>
          <w:sz w:val="20"/>
        </w:rPr>
      </w:pPr>
    </w:p>
    <w:p w14:paraId="34BBAD83" w14:textId="77777777" w:rsidR="00E877E4" w:rsidRPr="00C64973" w:rsidRDefault="00E877E4" w:rsidP="002E1A2F"/>
    <w:p w14:paraId="6D88D004" w14:textId="0098E205" w:rsidR="00E877E4" w:rsidRPr="00C64973" w:rsidRDefault="00E877E4" w:rsidP="002E1A2F"/>
    <w:p w14:paraId="5F08D6B7" w14:textId="0C89DD74" w:rsidR="00BD1397" w:rsidRPr="00C64973" w:rsidRDefault="002E1A2F" w:rsidP="00C2333D">
      <w:r w:rsidRPr="00C64973">
        <w:t>All initial evaluations of students with visual impairments must include an O&amp;M evaluation by a certified O&amp;M specialist in the home, school and community sett</w:t>
      </w:r>
      <w:r w:rsidR="006A12CB">
        <w:t xml:space="preserve">ing per </w:t>
      </w:r>
      <w:r w:rsidRPr="00C64973">
        <w:t>TEC 30.</w:t>
      </w:r>
      <w:r w:rsidR="005A365B" w:rsidRPr="00C64973">
        <w:t xml:space="preserve">002. </w:t>
      </w:r>
      <w:r w:rsidR="00380848" w:rsidRPr="00C64973">
        <w:t xml:space="preserve">This year the </w:t>
      </w:r>
      <w:r w:rsidR="00380848" w:rsidRPr="00C64973">
        <w:rPr>
          <w:i/>
        </w:rPr>
        <w:t>Annual Registration of Students with Visual Impairments</w:t>
      </w:r>
      <w:r w:rsidR="00380848" w:rsidRPr="00C64973">
        <w:t xml:space="preserve"> </w:t>
      </w:r>
      <w:r w:rsidR="00EF4DD4" w:rsidRPr="00C64973">
        <w:t>reported that 75.5% of all</w:t>
      </w:r>
      <w:r w:rsidRPr="00C64973">
        <w:t xml:space="preserve"> students </w:t>
      </w:r>
      <w:r w:rsidR="00EF4DD4" w:rsidRPr="00C64973">
        <w:t>with a visual impairment in Texas have been</w:t>
      </w:r>
      <w:r w:rsidR="00957796" w:rsidRPr="00C64973">
        <w:t xml:space="preserve"> evaluated by a COMS </w:t>
      </w:r>
      <w:r w:rsidR="00EF4DD4" w:rsidRPr="00C64973">
        <w:t>and 160</w:t>
      </w:r>
      <w:r w:rsidRPr="00C64973">
        <w:t xml:space="preserve"> additio</w:t>
      </w:r>
      <w:r w:rsidR="005A365B" w:rsidRPr="00C64973">
        <w:t xml:space="preserve">nal students were identified </w:t>
      </w:r>
      <w:r w:rsidRPr="00C64973">
        <w:t>as needing ori</w:t>
      </w:r>
      <w:r w:rsidR="00EF4DD4" w:rsidRPr="00C64973">
        <w:t>entati</w:t>
      </w:r>
      <w:r w:rsidR="00380848" w:rsidRPr="00C64973">
        <w:t>on and mobility services</w:t>
      </w:r>
      <w:r w:rsidR="00EF4DD4" w:rsidRPr="00C64973">
        <w:t>.</w:t>
      </w:r>
      <w:r w:rsidR="0010091B" w:rsidRPr="00C64973">
        <w:t xml:space="preserve"> Given that </w:t>
      </w:r>
      <w:r w:rsidR="008644D1" w:rsidRPr="00C64973">
        <w:t xml:space="preserve">the number of students receiving O&amp;M services </w:t>
      </w:r>
      <w:r w:rsidR="0010091B" w:rsidRPr="00C64973">
        <w:t xml:space="preserve">grew </w:t>
      </w:r>
      <w:r w:rsidR="008644D1" w:rsidRPr="00C64973">
        <w:t>by 335</w:t>
      </w:r>
      <w:r w:rsidR="00013C12" w:rsidRPr="00C64973">
        <w:t xml:space="preserve"> in just</w:t>
      </w:r>
      <w:r w:rsidR="008644D1" w:rsidRPr="00C64973">
        <w:t xml:space="preserve"> the last three years, the increase </w:t>
      </w:r>
      <w:r w:rsidR="00013C12" w:rsidRPr="00C64973">
        <w:t xml:space="preserve">of </w:t>
      </w:r>
      <w:r w:rsidR="008644D1" w:rsidRPr="00C64973">
        <w:t>additional COMS</w:t>
      </w:r>
      <w:r w:rsidR="0010091B" w:rsidRPr="00C64973">
        <w:t xml:space="preserve"> during that same period </w:t>
      </w:r>
      <w:r w:rsidR="008644D1" w:rsidRPr="00C64973">
        <w:t>was essential</w:t>
      </w:r>
      <w:r w:rsidR="00013C12" w:rsidRPr="00C64973">
        <w:t xml:space="preserve"> in order to ensure </w:t>
      </w:r>
      <w:r w:rsidR="00C2333D" w:rsidRPr="00C64973">
        <w:t xml:space="preserve">that all students have access to an O&amp;M evaluation and, </w:t>
      </w:r>
      <w:r w:rsidR="00991FCB" w:rsidRPr="00C64973">
        <w:t>as indicated, receive</w:t>
      </w:r>
      <w:r w:rsidR="000B130C" w:rsidRPr="00C64973">
        <w:t xml:space="preserve"> needed orientation and mobility services.</w:t>
      </w:r>
    </w:p>
    <w:p w14:paraId="3C61A10E" w14:textId="0787B3B1" w:rsidR="00D13EF0" w:rsidRPr="00C64973" w:rsidRDefault="00D13EF0" w:rsidP="00C44A83">
      <w:pPr>
        <w:pStyle w:val="Heading2"/>
      </w:pPr>
      <w:bookmarkStart w:id="35" w:name="_Toc61607295"/>
      <w:r w:rsidRPr="00C64973">
        <w:t>Part-time service providers</w:t>
      </w:r>
      <w:bookmarkEnd w:id="35"/>
    </w:p>
    <w:p w14:paraId="0845FB58" w14:textId="5535250A" w:rsidR="00494204" w:rsidRPr="00C64973" w:rsidRDefault="00402AFD" w:rsidP="00D520F5">
      <w:pPr>
        <w:pStyle w:val="NoSpacing"/>
        <w:rPr>
          <w:b/>
          <w:i/>
        </w:rPr>
      </w:pPr>
      <w:r w:rsidRPr="00C64973">
        <w:rPr>
          <w:b/>
          <w:i/>
        </w:rPr>
        <w:t>There are 288</w:t>
      </w:r>
      <w:r w:rsidR="001547D2" w:rsidRPr="00C64973">
        <w:rPr>
          <w:b/>
          <w:i/>
        </w:rPr>
        <w:t xml:space="preserve"> </w:t>
      </w:r>
      <w:r w:rsidR="008F502F" w:rsidRPr="00C64973">
        <w:rPr>
          <w:b/>
          <w:i/>
        </w:rPr>
        <w:t>part-</w:t>
      </w:r>
      <w:r w:rsidR="003F2536" w:rsidRPr="00C64973">
        <w:rPr>
          <w:b/>
          <w:i/>
        </w:rPr>
        <w:t xml:space="preserve">time </w:t>
      </w:r>
      <w:r w:rsidR="001547D2" w:rsidRPr="00C64973">
        <w:rPr>
          <w:b/>
          <w:i/>
        </w:rPr>
        <w:t>VI professionals serving students with visual impairments in Texas.</w:t>
      </w:r>
      <w:r w:rsidR="003F2536" w:rsidRPr="00C64973">
        <w:rPr>
          <w:b/>
          <w:i/>
        </w:rPr>
        <w:t xml:space="preserve">  </w:t>
      </w:r>
      <w:r w:rsidR="00D520F5" w:rsidRPr="00C64973">
        <w:rPr>
          <w:b/>
          <w:i/>
        </w:rPr>
        <w:t>The</w:t>
      </w:r>
      <w:r w:rsidR="00553590" w:rsidRPr="00C64973">
        <w:rPr>
          <w:b/>
          <w:i/>
        </w:rPr>
        <w:t xml:space="preserve"> number of part-time TVIs decreased and the nu</w:t>
      </w:r>
      <w:r w:rsidR="004A64FE" w:rsidRPr="00C64973">
        <w:rPr>
          <w:b/>
          <w:i/>
        </w:rPr>
        <w:t>mber of part-time COMS remained the same</w:t>
      </w:r>
      <w:r w:rsidR="00553590" w:rsidRPr="00C64973">
        <w:rPr>
          <w:b/>
          <w:i/>
        </w:rPr>
        <w:t xml:space="preserve"> in 2020</w:t>
      </w:r>
      <w:r w:rsidR="00494204" w:rsidRPr="00C64973">
        <w:rPr>
          <w:b/>
          <w:i/>
        </w:rPr>
        <w:t>.</w:t>
      </w:r>
    </w:p>
    <w:p w14:paraId="32B529BF" w14:textId="77777777" w:rsidR="00D520F5" w:rsidRPr="00C64973" w:rsidRDefault="00D520F5" w:rsidP="00D520F5">
      <w:pPr>
        <w:pStyle w:val="NoSpacing"/>
      </w:pPr>
    </w:p>
    <w:p w14:paraId="14890D19" w14:textId="2048451E" w:rsidR="0039783C" w:rsidRPr="00C64973" w:rsidRDefault="00DF705F" w:rsidP="005B2584">
      <w:bookmarkStart w:id="36" w:name="_Toc284342459"/>
      <w:bookmarkStart w:id="37" w:name="_Toc347126882"/>
      <w:bookmarkStart w:id="38" w:name="_Toc347127151"/>
      <w:bookmarkStart w:id="39" w:name="_Toc408835447"/>
      <w:r w:rsidRPr="00C64973">
        <w:t xml:space="preserve">It is important to note that </w:t>
      </w:r>
      <w:r w:rsidR="006A12CB">
        <w:t>employing</w:t>
      </w:r>
      <w:r w:rsidR="00D97FCA">
        <w:t xml:space="preserve"> </w:t>
      </w:r>
      <w:r w:rsidRPr="00C64973">
        <w:t>p</w:t>
      </w:r>
      <w:r w:rsidR="00D97FCA">
        <w:t>art-time VI professionals has</w:t>
      </w:r>
      <w:r w:rsidR="009275F9" w:rsidRPr="00C64973">
        <w:t xml:space="preserve"> </w:t>
      </w:r>
      <w:r w:rsidR="005B2584" w:rsidRPr="00C64973">
        <w:t xml:space="preserve">advantages and disadvantages. </w:t>
      </w:r>
      <w:r w:rsidR="0039783C" w:rsidRPr="00C64973">
        <w:t xml:space="preserve">Advantages include supporting </w:t>
      </w:r>
      <w:r w:rsidR="005B2584" w:rsidRPr="00C64973">
        <w:t>districts with a small number of students with visual impair</w:t>
      </w:r>
      <w:r w:rsidR="0039783C" w:rsidRPr="00C64973">
        <w:t xml:space="preserve">ments to meet their local needs. Part-time VI professionals </w:t>
      </w:r>
      <w:r w:rsidR="005B2584" w:rsidRPr="00C64973">
        <w:t>can increase flexibility in districts that have just a bit more, or a bit less, than a full-time VI professional can reasonably handle and still provide quality services. In addition, part-time VI professionals may either be employed by the district on a part-time, contractual basis for VI-only</w:t>
      </w:r>
      <w:r w:rsidR="000B5F93" w:rsidRPr="00C64973">
        <w:t xml:space="preserve"> purposes, or may be hired full-</w:t>
      </w:r>
      <w:r w:rsidR="005B2584" w:rsidRPr="00C64973">
        <w:t xml:space="preserve">time with duties </w:t>
      </w:r>
      <w:r w:rsidR="0039783C" w:rsidRPr="00C64973">
        <w:t>unrelated to visual impairments.</w:t>
      </w:r>
    </w:p>
    <w:p w14:paraId="173716E3" w14:textId="77777777" w:rsidR="00553590" w:rsidRPr="00C64973" w:rsidRDefault="0037468D" w:rsidP="005B2584">
      <w:r w:rsidRPr="00C64973">
        <w:t xml:space="preserve">Disadvantages include logistical </w:t>
      </w:r>
      <w:r w:rsidR="005B2584" w:rsidRPr="00C64973">
        <w:t>challenges in meeting the needs of the students. Due to other commitments and/or responsibilities, part-time staff members are at risk for not being able to provide the full caseload management</w:t>
      </w:r>
      <w:r w:rsidR="00A40980" w:rsidRPr="00C64973">
        <w:t xml:space="preserve"> or comprehensive array of services</w:t>
      </w:r>
      <w:r w:rsidR="005B2584" w:rsidRPr="00C64973">
        <w:t xml:space="preserve"> necessary for even small caseloads. </w:t>
      </w:r>
    </w:p>
    <w:p w14:paraId="4489909C" w14:textId="5A2A59D9" w:rsidR="005B2584" w:rsidRPr="00C64973" w:rsidRDefault="00C72B98" w:rsidP="005B2584">
      <w:r w:rsidRPr="00C64973">
        <w:t>P</w:t>
      </w:r>
      <w:r w:rsidR="00987F97" w:rsidRPr="00C64973">
        <w:t xml:space="preserve">art-time contract employees </w:t>
      </w:r>
      <w:r w:rsidR="00E66CE7" w:rsidRPr="00C64973">
        <w:t xml:space="preserve">may </w:t>
      </w:r>
      <w:r w:rsidRPr="00C64973">
        <w:t xml:space="preserve">not </w:t>
      </w:r>
      <w:r w:rsidR="00E66CE7" w:rsidRPr="00C64973">
        <w:t xml:space="preserve">function as full members </w:t>
      </w:r>
      <w:r w:rsidR="00987F97" w:rsidRPr="00C64973">
        <w:t>of the colla</w:t>
      </w:r>
      <w:r w:rsidRPr="00C64973">
        <w:t xml:space="preserve">borative educational team if </w:t>
      </w:r>
      <w:r w:rsidR="00987F97" w:rsidRPr="00C64973">
        <w:t>th</w:t>
      </w:r>
      <w:r w:rsidRPr="00C64973">
        <w:t xml:space="preserve">eir service hours are </w:t>
      </w:r>
      <w:r w:rsidR="00987F97" w:rsidRPr="00C64973">
        <w:t>limited</w:t>
      </w:r>
      <w:r w:rsidR="00EE3A36" w:rsidRPr="00C64973">
        <w:t xml:space="preserve"> to </w:t>
      </w:r>
      <w:r w:rsidR="004A64FE" w:rsidRPr="00C64973">
        <w:t xml:space="preserve">only direct hours </w:t>
      </w:r>
      <w:r w:rsidR="00987F97" w:rsidRPr="00C64973">
        <w:t>by the hiring district or co-op</w:t>
      </w:r>
      <w:r w:rsidR="0051760E" w:rsidRPr="00C64973">
        <w:t>, as is frequently the case</w:t>
      </w:r>
      <w:r w:rsidRPr="00C64973">
        <w:t>. I</w:t>
      </w:r>
      <w:r w:rsidR="00EE3A36" w:rsidRPr="00C64973">
        <w:t>t may be hard to carry out collaborative consult</w:t>
      </w:r>
      <w:r w:rsidR="00E66CE7" w:rsidRPr="00C64973">
        <w:t xml:space="preserve">ation to the degree needed if </w:t>
      </w:r>
      <w:r w:rsidR="0051760E" w:rsidRPr="00C64973">
        <w:t>service delivery time is limited</w:t>
      </w:r>
      <w:r w:rsidR="00EE3A36" w:rsidRPr="00C64973">
        <w:t>. Without time for collaboration, such VI professionals may not</w:t>
      </w:r>
      <w:r w:rsidR="006A12CB">
        <w:t xml:space="preserve"> be able to adequately ensure that </w:t>
      </w:r>
      <w:r w:rsidR="00EE3A36" w:rsidRPr="00C64973">
        <w:t>other team members</w:t>
      </w:r>
      <w:r w:rsidR="006A12CB">
        <w:t xml:space="preserve"> have the training to</w:t>
      </w:r>
      <w:r w:rsidR="00EE3A36" w:rsidRPr="00C64973">
        <w:t xml:space="preserve"> assist with generalization of skills learned</w:t>
      </w:r>
      <w:r w:rsidR="006A12CB">
        <w:t xml:space="preserve"> from the VI specialist </w:t>
      </w:r>
      <w:r w:rsidR="00756107" w:rsidRPr="00C64973">
        <w:t xml:space="preserve">(TSBVI, </w:t>
      </w:r>
      <w:proofErr w:type="spellStart"/>
      <w:r w:rsidR="00756107" w:rsidRPr="00C64973">
        <w:t>n.d.</w:t>
      </w:r>
      <w:proofErr w:type="spellEnd"/>
      <w:r w:rsidR="00756107" w:rsidRPr="00C64973">
        <w:t>)</w:t>
      </w:r>
      <w:r w:rsidR="00EE3A36" w:rsidRPr="00C64973">
        <w:t>.</w:t>
      </w:r>
      <w:r w:rsidR="00AD70D9" w:rsidRPr="00C64973">
        <w:rPr>
          <w:rFonts w:cs="Arial"/>
          <w:color w:val="000000"/>
          <w:shd w:val="clear" w:color="auto" w:fill="FAF8F8"/>
        </w:rPr>
        <w:t xml:space="preserve"> </w:t>
      </w:r>
    </w:p>
    <w:p w14:paraId="40D5BB9C" w14:textId="4A646A5F" w:rsidR="00C56134" w:rsidRPr="00C64973" w:rsidRDefault="00C56134" w:rsidP="00C56134">
      <w:pPr>
        <w:pStyle w:val="Heading2"/>
      </w:pPr>
      <w:bookmarkStart w:id="40" w:name="_Toc61607296"/>
      <w:r w:rsidRPr="00C64973">
        <w:t>Contract service providers</w:t>
      </w:r>
      <w:bookmarkEnd w:id="40"/>
    </w:p>
    <w:p w14:paraId="327BAFAA" w14:textId="3C48EE32" w:rsidR="001547D2" w:rsidRPr="00C64973" w:rsidRDefault="0089404B" w:rsidP="001547D2">
      <w:pPr>
        <w:rPr>
          <w:b/>
          <w:i/>
        </w:rPr>
      </w:pPr>
      <w:r w:rsidRPr="00C64973">
        <w:rPr>
          <w:b/>
          <w:i/>
        </w:rPr>
        <w:t>Twenty-four</w:t>
      </w:r>
      <w:r w:rsidR="00D91162" w:rsidRPr="00C64973">
        <w:rPr>
          <w:b/>
          <w:i/>
        </w:rPr>
        <w:t xml:space="preserve"> percent of TVIs and COMS in Texas </w:t>
      </w:r>
      <w:r w:rsidR="00C22460" w:rsidRPr="00C64973">
        <w:rPr>
          <w:b/>
          <w:i/>
        </w:rPr>
        <w:t xml:space="preserve">are contract service providers. </w:t>
      </w:r>
    </w:p>
    <w:p w14:paraId="722789AD" w14:textId="30AF7261" w:rsidR="00A96D9F" w:rsidRPr="00C64973" w:rsidRDefault="00307411" w:rsidP="007F27D4">
      <w:r w:rsidRPr="00C64973">
        <w:t>Many VI professionals work for school districts throughout the state as contract service providers on either a part-time or full-time basis. According to ESC</w:t>
      </w:r>
      <w:r w:rsidR="00AC6E67" w:rsidRPr="00C64973">
        <w:t xml:space="preserve"> consultants</w:t>
      </w:r>
      <w:r w:rsidR="00CD3043" w:rsidRPr="00C64973">
        <w:t xml:space="preserve">, </w:t>
      </w:r>
      <w:r w:rsidR="0057326D" w:rsidRPr="00C64973">
        <w:t>221</w:t>
      </w:r>
      <w:r w:rsidR="00C56134" w:rsidRPr="00C64973">
        <w:t xml:space="preserve"> VI profession</w:t>
      </w:r>
      <w:r w:rsidR="009D0A28" w:rsidRPr="00C64973">
        <w:t xml:space="preserve">als serve in this </w:t>
      </w:r>
      <w:r w:rsidR="0089404B" w:rsidRPr="00C64973">
        <w:t xml:space="preserve">manner. This is </w:t>
      </w:r>
      <w:r w:rsidR="00D97FCA">
        <w:t xml:space="preserve">a </w:t>
      </w:r>
      <w:r w:rsidR="0089404B" w:rsidRPr="00C64973">
        <w:t xml:space="preserve">large </w:t>
      </w:r>
      <w:r w:rsidR="006B5AB1" w:rsidRPr="00C64973">
        <w:t xml:space="preserve">increase from last year </w:t>
      </w:r>
      <w:r w:rsidR="00E14A87" w:rsidRPr="00C64973">
        <w:t>with the number o</w:t>
      </w:r>
      <w:r w:rsidR="0057326D" w:rsidRPr="00C64973">
        <w:t>f COMS contractors growing by 17</w:t>
      </w:r>
      <w:r w:rsidR="000D29CA" w:rsidRPr="00C64973">
        <w:t xml:space="preserve"> </w:t>
      </w:r>
      <w:r w:rsidR="00E14A87" w:rsidRPr="00C64973">
        <w:t xml:space="preserve">and the number of </w:t>
      </w:r>
      <w:r w:rsidR="00723F4D" w:rsidRPr="00C64973">
        <w:t>TVI</w:t>
      </w:r>
      <w:r w:rsidR="000D29CA" w:rsidRPr="00C64973">
        <w:t xml:space="preserve"> contractors growing</w:t>
      </w:r>
      <w:r w:rsidR="00E14A87" w:rsidRPr="00C64973">
        <w:t xml:space="preserve"> b</w:t>
      </w:r>
      <w:r w:rsidR="000D29CA" w:rsidRPr="00C64973">
        <w:t>y 18 individuals</w:t>
      </w:r>
      <w:r w:rsidR="00E14A87" w:rsidRPr="00C64973">
        <w:t xml:space="preserve">. </w:t>
      </w:r>
    </w:p>
    <w:p w14:paraId="4C1DCCEE" w14:textId="286748E1" w:rsidR="00A96D9F" w:rsidRPr="00C64973" w:rsidRDefault="00513315" w:rsidP="007F27D4">
      <w:r w:rsidRPr="00C64973">
        <w:t>The increase in contract service providers</w:t>
      </w:r>
      <w:r w:rsidR="00DA1024" w:rsidRPr="00C64973">
        <w:t xml:space="preserve"> may be a culmination of several factors. The increase</w:t>
      </w:r>
      <w:r w:rsidR="00F80FC7" w:rsidRPr="00C64973">
        <w:t xml:space="preserve"> in</w:t>
      </w:r>
      <w:r w:rsidR="00DA1024" w:rsidRPr="00C64973">
        <w:t xml:space="preserve"> charter schools, private staffing compan</w:t>
      </w:r>
      <w:r w:rsidR="00F80FC7" w:rsidRPr="00C64973">
        <w:t>ies and retired VI professionals returning to the field as private contrac</w:t>
      </w:r>
      <w:r w:rsidR="000D29CA" w:rsidRPr="00C64973">
        <w:t xml:space="preserve">tors could all be considered </w:t>
      </w:r>
      <w:r w:rsidR="00F80FC7" w:rsidRPr="00C64973">
        <w:t>contributing factors to the heightened total</w:t>
      </w:r>
      <w:r w:rsidR="000D29CA" w:rsidRPr="00C64973">
        <w:t xml:space="preserve">s seen over the last several </w:t>
      </w:r>
      <w:r w:rsidR="00C22460" w:rsidRPr="00C64973">
        <w:t>years</w:t>
      </w:r>
      <w:r w:rsidR="00F80FC7" w:rsidRPr="00C64973">
        <w:t>.</w:t>
      </w:r>
      <w:r w:rsidR="00A96D9F" w:rsidRPr="00C64973">
        <w:t xml:space="preserve"> </w:t>
      </w:r>
      <w:r w:rsidR="000E75DE" w:rsidRPr="00C64973">
        <w:t>It should</w:t>
      </w:r>
      <w:r w:rsidR="00434A99" w:rsidRPr="00C64973">
        <w:t xml:space="preserve"> b</w:t>
      </w:r>
      <w:r w:rsidR="00F82B1B" w:rsidRPr="00C64973">
        <w:t>e noted that</w:t>
      </w:r>
      <w:r w:rsidR="00434A99" w:rsidRPr="00C64973">
        <w:t xml:space="preserve"> VI professionals</w:t>
      </w:r>
      <w:r w:rsidR="00125DA8" w:rsidRPr="00C64973">
        <w:t xml:space="preserve"> who serve as private contractors</w:t>
      </w:r>
      <w:r w:rsidR="00F80FC7" w:rsidRPr="00C64973">
        <w:t xml:space="preserve"> </w:t>
      </w:r>
      <w:r w:rsidR="000E75DE" w:rsidRPr="00C64973">
        <w:t>may be difficult</w:t>
      </w:r>
      <w:r w:rsidR="00F80FC7" w:rsidRPr="00C64973">
        <w:t xml:space="preserve"> for ESC consultants to </w:t>
      </w:r>
      <w:r w:rsidR="00C47D35" w:rsidRPr="00C64973">
        <w:t xml:space="preserve">accurately </w:t>
      </w:r>
      <w:r w:rsidR="00F80FC7" w:rsidRPr="00C64973">
        <w:t>repor</w:t>
      </w:r>
      <w:r w:rsidR="00C47D35" w:rsidRPr="00C64973">
        <w:t>t</w:t>
      </w:r>
      <w:r w:rsidR="006A12CB">
        <w:t xml:space="preserve"> on</w:t>
      </w:r>
      <w:r w:rsidR="00125DA8" w:rsidRPr="00C64973">
        <w:t xml:space="preserve"> for the purpose of this document since </w:t>
      </w:r>
      <w:r w:rsidR="00C47D35" w:rsidRPr="00C64973">
        <w:t>t</w:t>
      </w:r>
      <w:r w:rsidR="00434A99" w:rsidRPr="00C64973">
        <w:t xml:space="preserve">hese service providers </w:t>
      </w:r>
      <w:r w:rsidR="00C47D35" w:rsidRPr="00C64973">
        <w:t xml:space="preserve">may not </w:t>
      </w:r>
      <w:r w:rsidR="00F80FC7" w:rsidRPr="00C64973">
        <w:t xml:space="preserve">be </w:t>
      </w:r>
      <w:r w:rsidR="00C47D35" w:rsidRPr="00C64973">
        <w:t xml:space="preserve">directly </w:t>
      </w:r>
      <w:r w:rsidR="00F80FC7" w:rsidRPr="00C64973">
        <w:t>affiliated with a school district or regional co-op arrangement.</w:t>
      </w:r>
    </w:p>
    <w:p w14:paraId="6C7D91C7" w14:textId="1F79A38D" w:rsidR="005B2584" w:rsidRPr="00C64973" w:rsidRDefault="005B2584" w:rsidP="005B2584">
      <w:pPr>
        <w:pStyle w:val="Heading2"/>
      </w:pPr>
      <w:bookmarkStart w:id="41" w:name="_Toc61607297"/>
      <w:r w:rsidRPr="00C64973">
        <w:t>Dually certified VI professionals</w:t>
      </w:r>
      <w:bookmarkEnd w:id="36"/>
      <w:bookmarkEnd w:id="37"/>
      <w:bookmarkEnd w:id="38"/>
      <w:bookmarkEnd w:id="39"/>
      <w:bookmarkEnd w:id="41"/>
    </w:p>
    <w:p w14:paraId="18842540" w14:textId="574BC132" w:rsidR="001547D2" w:rsidRPr="00C64973" w:rsidRDefault="00683189" w:rsidP="001547D2">
      <w:pPr>
        <w:rPr>
          <w:b/>
          <w:i/>
        </w:rPr>
      </w:pPr>
      <w:r w:rsidRPr="00C64973">
        <w:rPr>
          <w:b/>
          <w:i/>
        </w:rPr>
        <w:t>S</w:t>
      </w:r>
      <w:r w:rsidR="000D29CA" w:rsidRPr="00C64973">
        <w:rPr>
          <w:b/>
          <w:i/>
        </w:rPr>
        <w:t>eventy</w:t>
      </w:r>
      <w:r w:rsidR="00494204" w:rsidRPr="00C64973">
        <w:rPr>
          <w:b/>
          <w:i/>
        </w:rPr>
        <w:t>-</w:t>
      </w:r>
      <w:r w:rsidR="0086126F" w:rsidRPr="00C64973">
        <w:rPr>
          <w:b/>
          <w:i/>
        </w:rPr>
        <w:t>six</w:t>
      </w:r>
      <w:r w:rsidRPr="00C64973">
        <w:rPr>
          <w:b/>
          <w:i/>
        </w:rPr>
        <w:t xml:space="preserve"> </w:t>
      </w:r>
      <w:r w:rsidR="00494204" w:rsidRPr="00C64973">
        <w:rPr>
          <w:b/>
          <w:i/>
        </w:rPr>
        <w:t xml:space="preserve">individuals </w:t>
      </w:r>
      <w:r w:rsidR="000D29CA" w:rsidRPr="00C64973">
        <w:rPr>
          <w:b/>
          <w:i/>
        </w:rPr>
        <w:t>are functioning</w:t>
      </w:r>
      <w:r w:rsidR="00494204" w:rsidRPr="00C64973">
        <w:rPr>
          <w:b/>
          <w:i/>
        </w:rPr>
        <w:t xml:space="preserve"> in a dually cert</w:t>
      </w:r>
      <w:r w:rsidR="000D29CA" w:rsidRPr="00C64973">
        <w:rPr>
          <w:b/>
          <w:i/>
        </w:rPr>
        <w:t>ified role in 2020</w:t>
      </w:r>
      <w:r w:rsidR="00494204" w:rsidRPr="00C64973">
        <w:rPr>
          <w:b/>
          <w:i/>
        </w:rPr>
        <w:t>, providing both VI and</w:t>
      </w:r>
      <w:r w:rsidR="000D29CA" w:rsidRPr="00C64973">
        <w:rPr>
          <w:b/>
          <w:i/>
        </w:rPr>
        <w:t xml:space="preserve"> O&amp;M services to Texas students. This is the highest total </w:t>
      </w:r>
      <w:r w:rsidR="0086126F" w:rsidRPr="00C64973">
        <w:rPr>
          <w:b/>
          <w:i/>
        </w:rPr>
        <w:t>ever reported.</w:t>
      </w:r>
    </w:p>
    <w:p w14:paraId="4AE043A0" w14:textId="321B49E9" w:rsidR="00AC536F" w:rsidRPr="00C64973" w:rsidRDefault="005B2584" w:rsidP="005B2584">
      <w:pPr>
        <w:spacing w:line="288" w:lineRule="auto"/>
        <w:rPr>
          <w:szCs w:val="24"/>
        </w:rPr>
      </w:pPr>
      <w:r w:rsidRPr="00C64973">
        <w:rPr>
          <w:szCs w:val="24"/>
        </w:rPr>
        <w:t>Dually certified VI professionals are those who are certified and func</w:t>
      </w:r>
      <w:r w:rsidR="00D02F6C" w:rsidRPr="00C64973">
        <w:rPr>
          <w:szCs w:val="24"/>
        </w:rPr>
        <w:t xml:space="preserve">tion both as a COMS and as a </w:t>
      </w:r>
      <w:r w:rsidR="00723F4D" w:rsidRPr="00C64973">
        <w:rPr>
          <w:szCs w:val="24"/>
        </w:rPr>
        <w:t>TVI</w:t>
      </w:r>
      <w:r w:rsidRPr="00C64973">
        <w:rPr>
          <w:szCs w:val="24"/>
        </w:rPr>
        <w:t xml:space="preserve">. While many professionals may hold both certifications, not all dually certified professionals function in both capacities. This survey gathers data only about those who currently </w:t>
      </w:r>
      <w:r w:rsidRPr="00C64973">
        <w:rPr>
          <w:bCs/>
          <w:i/>
          <w:iCs/>
          <w:szCs w:val="24"/>
        </w:rPr>
        <w:t>function</w:t>
      </w:r>
      <w:r w:rsidR="00AC6E67" w:rsidRPr="00C64973">
        <w:rPr>
          <w:szCs w:val="24"/>
        </w:rPr>
        <w:t xml:space="preserve"> </w:t>
      </w:r>
      <w:r w:rsidRPr="00C64973">
        <w:rPr>
          <w:szCs w:val="24"/>
        </w:rPr>
        <w:t xml:space="preserve">as a </w:t>
      </w:r>
      <w:r w:rsidR="00723F4D" w:rsidRPr="00C64973">
        <w:rPr>
          <w:szCs w:val="24"/>
        </w:rPr>
        <w:t>TVI</w:t>
      </w:r>
      <w:r w:rsidRPr="00C64973">
        <w:rPr>
          <w:szCs w:val="24"/>
        </w:rPr>
        <w:t xml:space="preserve"> and an O&amp;M specialist. </w:t>
      </w:r>
    </w:p>
    <w:p w14:paraId="63142432" w14:textId="48BD6448" w:rsidR="005B2584" w:rsidRPr="00C64973" w:rsidRDefault="005B2584" w:rsidP="005B2584">
      <w:pPr>
        <w:pStyle w:val="Heading3"/>
      </w:pPr>
      <w:r w:rsidRPr="00C64973">
        <w:t xml:space="preserve">Table </w:t>
      </w:r>
      <w:r w:rsidRPr="00C64973">
        <w:rPr>
          <w:noProof/>
        </w:rPr>
        <w:t>4</w:t>
      </w:r>
      <w:r w:rsidRPr="00C64973">
        <w:t>: Dually Certified Professionals</w:t>
      </w:r>
    </w:p>
    <w:tbl>
      <w:tblPr>
        <w:tblpPr w:leftFromText="180" w:rightFromText="180" w:vertAnchor="text" w:horzAnchor="margin" w:tblpX="108" w:tblpY="11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78"/>
        <w:gridCol w:w="882"/>
        <w:gridCol w:w="882"/>
        <w:gridCol w:w="882"/>
      </w:tblGrid>
      <w:tr w:rsidR="005B2584" w:rsidRPr="00C64973" w14:paraId="73D1CB10" w14:textId="77777777" w:rsidTr="006F3AF6">
        <w:trPr>
          <w:cantSplit/>
          <w:trHeight w:val="454"/>
          <w:tblHeader/>
        </w:trPr>
        <w:tc>
          <w:tcPr>
            <w:tcW w:w="2178" w:type="dxa"/>
            <w:tcBorders>
              <w:top w:val="nil"/>
              <w:left w:val="nil"/>
              <w:right w:val="nil"/>
            </w:tcBorders>
          </w:tcPr>
          <w:p w14:paraId="16BD8BB3" w14:textId="77777777" w:rsidR="005B2584" w:rsidRPr="00C64973" w:rsidRDefault="005B2584" w:rsidP="00E51125">
            <w:pPr>
              <w:spacing w:after="0" w:line="288" w:lineRule="auto"/>
              <w:rPr>
                <w:szCs w:val="22"/>
              </w:rPr>
            </w:pPr>
          </w:p>
        </w:tc>
        <w:tc>
          <w:tcPr>
            <w:tcW w:w="882" w:type="dxa"/>
            <w:tcBorders>
              <w:top w:val="nil"/>
              <w:left w:val="nil"/>
              <w:right w:val="nil"/>
            </w:tcBorders>
          </w:tcPr>
          <w:p w14:paraId="00A51D56" w14:textId="5725A0E6" w:rsidR="005B2584" w:rsidRPr="00C64973" w:rsidRDefault="000D29CA" w:rsidP="00D42724">
            <w:pPr>
              <w:rPr>
                <w:b/>
              </w:rPr>
            </w:pPr>
            <w:r w:rsidRPr="00C64973">
              <w:rPr>
                <w:b/>
              </w:rPr>
              <w:t>2018</w:t>
            </w:r>
          </w:p>
        </w:tc>
        <w:tc>
          <w:tcPr>
            <w:tcW w:w="882" w:type="dxa"/>
            <w:tcBorders>
              <w:top w:val="nil"/>
              <w:left w:val="nil"/>
              <w:right w:val="nil"/>
            </w:tcBorders>
          </w:tcPr>
          <w:p w14:paraId="59630E69" w14:textId="2F70A1ED" w:rsidR="005B2584" w:rsidRPr="00C64973" w:rsidRDefault="000D29CA" w:rsidP="00D42724">
            <w:pPr>
              <w:rPr>
                <w:b/>
              </w:rPr>
            </w:pPr>
            <w:r w:rsidRPr="00C64973">
              <w:rPr>
                <w:b/>
              </w:rPr>
              <w:t>2019</w:t>
            </w:r>
          </w:p>
        </w:tc>
        <w:tc>
          <w:tcPr>
            <w:tcW w:w="882" w:type="dxa"/>
            <w:tcBorders>
              <w:top w:val="nil"/>
              <w:left w:val="nil"/>
              <w:right w:val="nil"/>
            </w:tcBorders>
          </w:tcPr>
          <w:p w14:paraId="482CA564" w14:textId="26D34D29" w:rsidR="005B2584" w:rsidRPr="00C64973" w:rsidRDefault="000D29CA" w:rsidP="00D42724">
            <w:pPr>
              <w:rPr>
                <w:b/>
              </w:rPr>
            </w:pPr>
            <w:r w:rsidRPr="00C64973">
              <w:rPr>
                <w:b/>
              </w:rPr>
              <w:t>2020</w:t>
            </w:r>
          </w:p>
        </w:tc>
      </w:tr>
      <w:tr w:rsidR="005B2584" w:rsidRPr="00C64973" w14:paraId="23D482F3" w14:textId="77777777" w:rsidTr="000D29CA">
        <w:tc>
          <w:tcPr>
            <w:tcW w:w="2178" w:type="dxa"/>
            <w:shd w:val="clear" w:color="auto" w:fill="auto"/>
          </w:tcPr>
          <w:p w14:paraId="52680791" w14:textId="77777777" w:rsidR="005B2584" w:rsidRPr="00C64973" w:rsidRDefault="005B2584" w:rsidP="00E51125">
            <w:pPr>
              <w:spacing w:before="240" w:after="0" w:line="288" w:lineRule="auto"/>
              <w:rPr>
                <w:rFonts w:eastAsia="MS Mincho"/>
                <w:b/>
                <w:i/>
                <w:iCs/>
                <w:szCs w:val="22"/>
              </w:rPr>
            </w:pPr>
            <w:r w:rsidRPr="00C64973">
              <w:rPr>
                <w:b/>
                <w:szCs w:val="22"/>
              </w:rPr>
              <w:t>Dually certified</w:t>
            </w:r>
          </w:p>
        </w:tc>
        <w:tc>
          <w:tcPr>
            <w:tcW w:w="882" w:type="dxa"/>
          </w:tcPr>
          <w:p w14:paraId="7BF72EF2" w14:textId="4859D7B3" w:rsidR="005B2584" w:rsidRPr="00C64973" w:rsidRDefault="00823F79" w:rsidP="00E51125">
            <w:pPr>
              <w:spacing w:before="240" w:after="0" w:line="288" w:lineRule="auto"/>
              <w:jc w:val="center"/>
              <w:rPr>
                <w:szCs w:val="22"/>
              </w:rPr>
            </w:pPr>
            <w:r w:rsidRPr="00C64973">
              <w:rPr>
                <w:szCs w:val="22"/>
              </w:rPr>
              <w:t>66</w:t>
            </w:r>
          </w:p>
        </w:tc>
        <w:tc>
          <w:tcPr>
            <w:tcW w:w="882" w:type="dxa"/>
          </w:tcPr>
          <w:p w14:paraId="54D101FC" w14:textId="4A3C4B40" w:rsidR="005B2584" w:rsidRPr="00C64973" w:rsidRDefault="000D29CA" w:rsidP="00E51125">
            <w:pPr>
              <w:spacing w:before="240" w:after="0" w:line="288" w:lineRule="auto"/>
              <w:jc w:val="center"/>
              <w:rPr>
                <w:szCs w:val="22"/>
              </w:rPr>
            </w:pPr>
            <w:r w:rsidRPr="00C64973">
              <w:rPr>
                <w:szCs w:val="22"/>
              </w:rPr>
              <w:t>63</w:t>
            </w:r>
          </w:p>
        </w:tc>
        <w:tc>
          <w:tcPr>
            <w:tcW w:w="882" w:type="dxa"/>
          </w:tcPr>
          <w:p w14:paraId="7145F4FD" w14:textId="2D428FF6" w:rsidR="005B2584" w:rsidRPr="00C64973" w:rsidRDefault="0086126F" w:rsidP="00E51125">
            <w:pPr>
              <w:spacing w:before="240" w:after="0" w:line="288" w:lineRule="auto"/>
              <w:jc w:val="center"/>
              <w:rPr>
                <w:szCs w:val="22"/>
              </w:rPr>
            </w:pPr>
            <w:r w:rsidRPr="00C64973">
              <w:rPr>
                <w:szCs w:val="22"/>
              </w:rPr>
              <w:t>76</w:t>
            </w:r>
          </w:p>
        </w:tc>
      </w:tr>
    </w:tbl>
    <w:p w14:paraId="2AB0737A" w14:textId="17BB10C3" w:rsidR="005B2584" w:rsidRPr="00C64973" w:rsidRDefault="005B2584" w:rsidP="005B2584">
      <w:pPr>
        <w:pStyle w:val="veroirsubtitulo"/>
        <w:spacing w:after="0" w:line="288" w:lineRule="auto"/>
        <w:rPr>
          <w:bCs/>
          <w:sz w:val="22"/>
          <w:szCs w:val="22"/>
          <w:lang w:val="en-US"/>
        </w:rPr>
      </w:pPr>
    </w:p>
    <w:p w14:paraId="148CA565" w14:textId="58304ABC" w:rsidR="005B2584" w:rsidRPr="00C64973" w:rsidRDefault="005B2584" w:rsidP="005B2584">
      <w:pPr>
        <w:spacing w:line="288" w:lineRule="auto"/>
        <w:rPr>
          <w:szCs w:val="24"/>
        </w:rPr>
      </w:pPr>
    </w:p>
    <w:p w14:paraId="5966E734" w14:textId="13C6FD45" w:rsidR="000D29CA" w:rsidRPr="00C64973" w:rsidRDefault="000D29CA" w:rsidP="004015C1">
      <w:bookmarkStart w:id="42" w:name="_Toc284342460"/>
      <w:bookmarkStart w:id="43" w:name="_Toc284342556"/>
    </w:p>
    <w:p w14:paraId="6230D338" w14:textId="77777777" w:rsidR="001D59D3" w:rsidRDefault="001D59D3" w:rsidP="004015C1"/>
    <w:p w14:paraId="54BBA5BA" w14:textId="1FFDAF0A" w:rsidR="00B779DE" w:rsidRPr="00C64973" w:rsidRDefault="005B2584" w:rsidP="004015C1">
      <w:r w:rsidRPr="00C64973">
        <w:t>Dually certified professionals are unique and offer districts maximum flexibility. Administrators are able to modify work assignments according to the needs of the district and the needs of students for a particular year. While these VI pro</w:t>
      </w:r>
      <w:r w:rsidR="000B5F93" w:rsidRPr="00C64973">
        <w:t>fessionals may be employed full-</w:t>
      </w:r>
      <w:r w:rsidRPr="00C64973">
        <w:t>time in a district, they must split their time and expertise between two different, althou</w:t>
      </w:r>
      <w:r w:rsidR="001757BE" w:rsidRPr="00C64973">
        <w:t>gh related, professions. An a</w:t>
      </w:r>
      <w:r w:rsidRPr="00C64973">
        <w:t>dmi</w:t>
      </w:r>
      <w:r w:rsidR="001757BE" w:rsidRPr="00C64973">
        <w:t>nistrator must</w:t>
      </w:r>
      <w:r w:rsidRPr="00C64973">
        <w:t xml:space="preserve"> understand the challenges f</w:t>
      </w:r>
      <w:r w:rsidR="001757BE" w:rsidRPr="00C64973">
        <w:t xml:space="preserve">aced by these professionals </w:t>
      </w:r>
      <w:r w:rsidRPr="00C64973">
        <w:t>to ensure that neither area is slighted.</w:t>
      </w:r>
      <w:bookmarkStart w:id="44" w:name="_Toc347126884"/>
      <w:bookmarkStart w:id="45" w:name="_Toc347127153"/>
      <w:bookmarkStart w:id="46" w:name="_Toc408835449"/>
      <w:bookmarkEnd w:id="42"/>
      <w:bookmarkEnd w:id="43"/>
    </w:p>
    <w:p w14:paraId="5C2130C1" w14:textId="1F40C344" w:rsidR="00321FD4" w:rsidRPr="00C64973" w:rsidRDefault="005B2584" w:rsidP="00321FD4">
      <w:pPr>
        <w:pStyle w:val="Heading2"/>
      </w:pPr>
      <w:bookmarkStart w:id="47" w:name="_Toc61607298"/>
      <w:r w:rsidRPr="00C64973">
        <w:t>Direct services provided by ESC</w:t>
      </w:r>
      <w:bookmarkEnd w:id="44"/>
      <w:bookmarkEnd w:id="45"/>
      <w:r w:rsidRPr="00C64973">
        <w:t>s</w:t>
      </w:r>
      <w:bookmarkEnd w:id="46"/>
      <w:bookmarkEnd w:id="47"/>
    </w:p>
    <w:p w14:paraId="77C1609E" w14:textId="26397CE7" w:rsidR="00C22460" w:rsidRPr="00C64973" w:rsidRDefault="00435657" w:rsidP="00C22460">
      <w:pPr>
        <w:rPr>
          <w:b/>
          <w:i/>
        </w:rPr>
      </w:pPr>
      <w:r w:rsidRPr="00C64973">
        <w:rPr>
          <w:b/>
          <w:i/>
        </w:rPr>
        <w:t>Each regional education service center (ESC) provides an array of services to districts and for some, that includes direct TVI and O&amp;M services.</w:t>
      </w:r>
      <w:r w:rsidRPr="00C64973">
        <w:rPr>
          <w:i/>
        </w:rPr>
        <w:t xml:space="preserve"> </w:t>
      </w:r>
      <w:r w:rsidR="00972614" w:rsidRPr="00C64973">
        <w:rPr>
          <w:b/>
          <w:i/>
        </w:rPr>
        <w:t>There are</w:t>
      </w:r>
      <w:r w:rsidR="0089404B" w:rsidRPr="00C64973">
        <w:rPr>
          <w:b/>
          <w:i/>
        </w:rPr>
        <w:t xml:space="preserve"> currently</w:t>
      </w:r>
      <w:r w:rsidR="00463C69">
        <w:rPr>
          <w:b/>
          <w:i/>
        </w:rPr>
        <w:t xml:space="preserve"> 412</w:t>
      </w:r>
      <w:r w:rsidR="0052771E" w:rsidRPr="00C64973">
        <w:rPr>
          <w:b/>
          <w:i/>
        </w:rPr>
        <w:t xml:space="preserve"> students served </w:t>
      </w:r>
      <w:r w:rsidR="00991FCB" w:rsidRPr="00C64973">
        <w:rPr>
          <w:b/>
          <w:i/>
        </w:rPr>
        <w:t xml:space="preserve">directly </w:t>
      </w:r>
      <w:r w:rsidR="0089404B" w:rsidRPr="00C64973">
        <w:rPr>
          <w:b/>
          <w:i/>
        </w:rPr>
        <w:t>by the ESCs</w:t>
      </w:r>
      <w:r w:rsidR="0052771E" w:rsidRPr="00C64973">
        <w:rPr>
          <w:b/>
          <w:i/>
        </w:rPr>
        <w:t xml:space="preserve">. </w:t>
      </w:r>
    </w:p>
    <w:p w14:paraId="20CD840C" w14:textId="120A5573" w:rsidR="005B2584" w:rsidRPr="00C64973" w:rsidRDefault="005B2584" w:rsidP="005B2584">
      <w:r w:rsidRPr="00C64973">
        <w:t xml:space="preserve">ESCs are a </w:t>
      </w:r>
      <w:r w:rsidRPr="00C64973">
        <w:rPr>
          <w:i/>
        </w:rPr>
        <w:t>major</w:t>
      </w:r>
      <w:r w:rsidRPr="00C64973">
        <w:t xml:space="preserve"> part of the state’s infrastructure that ensures access to high quality VI services. Regional specialists in visual impairments are critical players in the provision of technical assistance, leadership, workshops, and </w:t>
      </w:r>
      <w:r w:rsidR="00114411">
        <w:t xml:space="preserve">specialized </w:t>
      </w:r>
      <w:r w:rsidRPr="00C64973">
        <w:t>materials for VI profess</w:t>
      </w:r>
      <w:r w:rsidR="00FB2FA2" w:rsidRPr="00C64973">
        <w:t>ionals, families, and students. They also a</w:t>
      </w:r>
      <w:r w:rsidRPr="00C64973">
        <w:t xml:space="preserve">ssist </w:t>
      </w:r>
      <w:r w:rsidR="00723F4D" w:rsidRPr="00C64973">
        <w:t>TVI</w:t>
      </w:r>
      <w:r w:rsidR="0056181C" w:rsidRPr="00C64973">
        <w:t xml:space="preserve">s and </w:t>
      </w:r>
      <w:r w:rsidR="0057326D" w:rsidRPr="00C64973">
        <w:t>107</w:t>
      </w:r>
      <w:r w:rsidR="00363AD3" w:rsidRPr="00C64973">
        <w:t xml:space="preserve"> </w:t>
      </w:r>
      <w:r w:rsidR="001D4B55" w:rsidRPr="00C64973">
        <w:t xml:space="preserve">braille transcribers within the state </w:t>
      </w:r>
      <w:r w:rsidRPr="00C64973">
        <w:t>in braille production</w:t>
      </w:r>
      <w:r w:rsidR="008F0D9C" w:rsidRPr="00C64973">
        <w:t xml:space="preserve">. They </w:t>
      </w:r>
      <w:r w:rsidRPr="00C64973">
        <w:t xml:space="preserve">act as a </w:t>
      </w:r>
      <w:r w:rsidR="00FB2FA2" w:rsidRPr="00C64973">
        <w:t xml:space="preserve">vital source of </w:t>
      </w:r>
      <w:r w:rsidRPr="00C64973">
        <w:t xml:space="preserve">information on VI-related issues for special education administrators in the region. A significant portion of Texas’ reputation for leadership in visual impairments is due to the high level of skills and services provided by its VI specialists in regional education service centers. </w:t>
      </w:r>
    </w:p>
    <w:p w14:paraId="3666CBF4" w14:textId="16D0A6CF" w:rsidR="00D6353F" w:rsidRPr="00C64973" w:rsidRDefault="00435657" w:rsidP="009C5590">
      <w:r w:rsidRPr="00C64973">
        <w:t>In the</w:t>
      </w:r>
      <w:r w:rsidR="005B2584" w:rsidRPr="00C64973">
        <w:t xml:space="preserve"> regions</w:t>
      </w:r>
      <w:r w:rsidRPr="00C64973">
        <w:t xml:space="preserve"> where direct services are provided</w:t>
      </w:r>
      <w:r w:rsidR="005B2584" w:rsidRPr="00C64973">
        <w:t>, the ESC staff members are listed on the student’s individualized education p</w:t>
      </w:r>
      <w:r w:rsidR="005561BA" w:rsidRPr="00C64973">
        <w:t>rogram</w:t>
      </w:r>
      <w:r w:rsidR="005B2584" w:rsidRPr="00C64973">
        <w:t xml:space="preserve"> (IEP). </w:t>
      </w:r>
      <w:r w:rsidR="00972614" w:rsidRPr="00C64973">
        <w:t xml:space="preserve">ESCs are providing more direct services overall this year. </w:t>
      </w:r>
      <w:r w:rsidR="0086126F" w:rsidRPr="00C64973">
        <w:t>Currently, 14</w:t>
      </w:r>
      <w:r w:rsidR="00972614" w:rsidRPr="00C64973">
        <w:t xml:space="preserve"> ESCs provide </w:t>
      </w:r>
      <w:r w:rsidR="0052771E" w:rsidRPr="00C64973">
        <w:t>services</w:t>
      </w:r>
      <w:r w:rsidR="00972614" w:rsidRPr="00C64973">
        <w:t xml:space="preserve"> to students for either VI services, O&amp;M services or both. </w:t>
      </w:r>
      <w:r w:rsidR="005B2584" w:rsidRPr="00C64973">
        <w:t xml:space="preserve">Table 5 reflects the number of students receiving </w:t>
      </w:r>
      <w:r w:rsidR="0037468D" w:rsidRPr="00C64973">
        <w:t xml:space="preserve">direct </w:t>
      </w:r>
      <w:r w:rsidR="005B2584" w:rsidRPr="00C64973">
        <w:t>services from the</w:t>
      </w:r>
      <w:r w:rsidR="00BD1397" w:rsidRPr="00C64973">
        <w:t xml:space="preserve"> ES</w:t>
      </w:r>
      <w:r w:rsidR="00D27D4E" w:rsidRPr="00C64973">
        <w:t>Cs.</w:t>
      </w:r>
      <w:r w:rsidR="00D6353F" w:rsidRPr="00C64973">
        <w:rPr>
          <w:noProof/>
        </w:rPr>
        <w:tab/>
      </w:r>
      <w:r w:rsidR="001264B5" w:rsidRPr="00C64973">
        <w:rPr>
          <w:noProof/>
        </w:rPr>
        <w:t>The</w:t>
      </w:r>
      <w:r w:rsidR="0089404B" w:rsidRPr="00C64973">
        <w:rPr>
          <w:noProof/>
        </w:rPr>
        <w:t xml:space="preserve"> total</w:t>
      </w:r>
      <w:r w:rsidR="001264B5" w:rsidRPr="00C64973">
        <w:rPr>
          <w:noProof/>
        </w:rPr>
        <w:t xml:space="preserve"> n</w:t>
      </w:r>
      <w:r w:rsidR="00463C69">
        <w:rPr>
          <w:noProof/>
        </w:rPr>
        <w:t xml:space="preserve">umber of students served </w:t>
      </w:r>
      <w:r w:rsidR="0089404B" w:rsidRPr="00C64973">
        <w:rPr>
          <w:noProof/>
        </w:rPr>
        <w:t>grew between 2018 and 2020</w:t>
      </w:r>
      <w:r w:rsidR="001264B5" w:rsidRPr="00C64973">
        <w:rPr>
          <w:noProof/>
        </w:rPr>
        <w:t xml:space="preserve"> and students receiving O&amp;M-only services </w:t>
      </w:r>
      <w:r w:rsidR="00105B9D" w:rsidRPr="00C64973">
        <w:rPr>
          <w:noProof/>
        </w:rPr>
        <w:t>fro</w:t>
      </w:r>
      <w:r w:rsidR="00A31C92" w:rsidRPr="00C64973">
        <w:rPr>
          <w:noProof/>
        </w:rPr>
        <w:t>m</w:t>
      </w:r>
      <w:r w:rsidR="00105B9D" w:rsidRPr="00C64973">
        <w:rPr>
          <w:noProof/>
        </w:rPr>
        <w:t xml:space="preserve"> the ESCs </w:t>
      </w:r>
      <w:r w:rsidR="001264B5" w:rsidRPr="00C64973">
        <w:rPr>
          <w:noProof/>
        </w:rPr>
        <w:t>had t</w:t>
      </w:r>
      <w:r w:rsidR="00114411">
        <w:rPr>
          <w:noProof/>
        </w:rPr>
        <w:t>he high</w:t>
      </w:r>
      <w:r w:rsidR="00463C69">
        <w:rPr>
          <w:noProof/>
        </w:rPr>
        <w:t>est total each year</w:t>
      </w:r>
      <w:r w:rsidR="001264B5" w:rsidRPr="00C64973">
        <w:rPr>
          <w:noProof/>
        </w:rPr>
        <w:t>.</w:t>
      </w:r>
      <w:r w:rsidR="00D6353F" w:rsidRPr="00C64973">
        <w:rPr>
          <w:noProof/>
        </w:rPr>
        <w:tab/>
      </w:r>
      <w:r w:rsidR="00D6353F" w:rsidRPr="00C64973">
        <w:rPr>
          <w:noProof/>
        </w:rPr>
        <w:tab/>
      </w:r>
    </w:p>
    <w:p w14:paraId="11E17EF7" w14:textId="2104AFC1" w:rsidR="005B2584" w:rsidRPr="00C64973" w:rsidRDefault="005B2584" w:rsidP="005B2584">
      <w:pPr>
        <w:pStyle w:val="Heading3"/>
      </w:pPr>
      <w:r w:rsidRPr="00C64973">
        <w:t xml:space="preserve">Table </w:t>
      </w:r>
      <w:r w:rsidRPr="00C64973">
        <w:rPr>
          <w:noProof/>
        </w:rPr>
        <w:t>5</w:t>
      </w:r>
      <w:r w:rsidRPr="00C64973">
        <w:t>: Students Receiving Services from ESCs</w:t>
      </w:r>
    </w:p>
    <w:tbl>
      <w:tblPr>
        <w:tblpPr w:leftFromText="180" w:rightFromText="180" w:vertAnchor="text" w:horzAnchor="margin" w:tblpY="29"/>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698"/>
        <w:gridCol w:w="1200"/>
        <w:gridCol w:w="1200"/>
        <w:gridCol w:w="1200"/>
      </w:tblGrid>
      <w:tr w:rsidR="005B2584" w:rsidRPr="00C64973" w14:paraId="321D6C0B" w14:textId="77777777" w:rsidTr="00E51125">
        <w:tc>
          <w:tcPr>
            <w:tcW w:w="4698" w:type="dxa"/>
            <w:tcBorders>
              <w:top w:val="nil"/>
              <w:left w:val="nil"/>
              <w:bottom w:val="single" w:sz="2" w:space="0" w:color="auto"/>
              <w:right w:val="nil"/>
            </w:tcBorders>
          </w:tcPr>
          <w:p w14:paraId="12D0792A" w14:textId="367E4F9F" w:rsidR="005B2584" w:rsidRPr="00C64973" w:rsidRDefault="005B2584" w:rsidP="00E51125">
            <w:pPr>
              <w:spacing w:after="0" w:line="288" w:lineRule="auto"/>
              <w:rPr>
                <w:rFonts w:ascii="Cambria" w:hAnsi="Cambria"/>
              </w:rPr>
            </w:pPr>
          </w:p>
        </w:tc>
        <w:tc>
          <w:tcPr>
            <w:tcW w:w="1200" w:type="dxa"/>
            <w:tcBorders>
              <w:top w:val="nil"/>
              <w:left w:val="nil"/>
              <w:bottom w:val="single" w:sz="2" w:space="0" w:color="auto"/>
              <w:right w:val="nil"/>
            </w:tcBorders>
          </w:tcPr>
          <w:p w14:paraId="62C4F2E8" w14:textId="0988D769" w:rsidR="005B2584" w:rsidRPr="00C64973" w:rsidRDefault="00972614" w:rsidP="00D42724">
            <w:pPr>
              <w:jc w:val="center"/>
              <w:rPr>
                <w:b/>
              </w:rPr>
            </w:pPr>
            <w:r w:rsidRPr="00C64973">
              <w:rPr>
                <w:b/>
              </w:rPr>
              <w:t>2018</w:t>
            </w:r>
          </w:p>
        </w:tc>
        <w:tc>
          <w:tcPr>
            <w:tcW w:w="1200" w:type="dxa"/>
            <w:tcBorders>
              <w:top w:val="nil"/>
              <w:left w:val="nil"/>
              <w:bottom w:val="single" w:sz="2" w:space="0" w:color="auto"/>
              <w:right w:val="nil"/>
            </w:tcBorders>
          </w:tcPr>
          <w:p w14:paraId="38A7A664" w14:textId="24D62031" w:rsidR="005B2584" w:rsidRPr="00C64973" w:rsidRDefault="00972614" w:rsidP="00D42724">
            <w:pPr>
              <w:jc w:val="center"/>
              <w:rPr>
                <w:b/>
              </w:rPr>
            </w:pPr>
            <w:r w:rsidRPr="00C64973">
              <w:rPr>
                <w:b/>
              </w:rPr>
              <w:t>2019</w:t>
            </w:r>
          </w:p>
        </w:tc>
        <w:tc>
          <w:tcPr>
            <w:tcW w:w="1200" w:type="dxa"/>
            <w:tcBorders>
              <w:top w:val="nil"/>
              <w:left w:val="nil"/>
              <w:bottom w:val="single" w:sz="2" w:space="0" w:color="auto"/>
              <w:right w:val="nil"/>
            </w:tcBorders>
          </w:tcPr>
          <w:p w14:paraId="12A72AB0" w14:textId="7C334700" w:rsidR="005B2584" w:rsidRPr="00C64973" w:rsidRDefault="00972614" w:rsidP="00D42724">
            <w:pPr>
              <w:jc w:val="center"/>
              <w:rPr>
                <w:b/>
              </w:rPr>
            </w:pPr>
            <w:r w:rsidRPr="00C64973">
              <w:rPr>
                <w:b/>
              </w:rPr>
              <w:t>2020</w:t>
            </w:r>
          </w:p>
        </w:tc>
      </w:tr>
      <w:tr w:rsidR="005B2584" w:rsidRPr="00C64973" w14:paraId="2DECCDF5" w14:textId="77777777" w:rsidTr="00E51125">
        <w:tc>
          <w:tcPr>
            <w:tcW w:w="4698" w:type="dxa"/>
            <w:vAlign w:val="bottom"/>
          </w:tcPr>
          <w:p w14:paraId="2DC6AE20" w14:textId="56B68E04" w:rsidR="005B2584" w:rsidRPr="00C64973" w:rsidRDefault="001264B5" w:rsidP="00E51125">
            <w:pPr>
              <w:spacing w:after="0" w:line="288" w:lineRule="auto"/>
              <w:rPr>
                <w:rFonts w:eastAsia="MS Mincho"/>
                <w:b/>
                <w:i/>
                <w:iCs/>
                <w:szCs w:val="24"/>
              </w:rPr>
            </w:pPr>
            <w:r w:rsidRPr="00C64973">
              <w:rPr>
                <w:b/>
              </w:rPr>
              <w:t xml:space="preserve">VI-only services (4 </w:t>
            </w:r>
            <w:r w:rsidR="005B2584" w:rsidRPr="00C64973">
              <w:rPr>
                <w:b/>
              </w:rPr>
              <w:t>regions)</w:t>
            </w:r>
          </w:p>
        </w:tc>
        <w:tc>
          <w:tcPr>
            <w:tcW w:w="1200" w:type="dxa"/>
            <w:vAlign w:val="bottom"/>
          </w:tcPr>
          <w:p w14:paraId="3A12CA15" w14:textId="6BAC72A8" w:rsidR="005B2584" w:rsidRPr="00C64973" w:rsidRDefault="00972614" w:rsidP="00E51125">
            <w:pPr>
              <w:spacing w:after="0" w:line="288" w:lineRule="auto"/>
              <w:jc w:val="center"/>
            </w:pPr>
            <w:r w:rsidRPr="00C64973">
              <w:t>131</w:t>
            </w:r>
          </w:p>
        </w:tc>
        <w:tc>
          <w:tcPr>
            <w:tcW w:w="1200" w:type="dxa"/>
            <w:vAlign w:val="bottom"/>
          </w:tcPr>
          <w:p w14:paraId="7DDF53E7" w14:textId="66972D36" w:rsidR="005B2584" w:rsidRPr="00C64973" w:rsidRDefault="00972614" w:rsidP="00E51125">
            <w:pPr>
              <w:spacing w:after="0" w:line="288" w:lineRule="auto"/>
              <w:jc w:val="center"/>
            </w:pPr>
            <w:r w:rsidRPr="00C64973">
              <w:t>147</w:t>
            </w:r>
          </w:p>
        </w:tc>
        <w:tc>
          <w:tcPr>
            <w:tcW w:w="1200" w:type="dxa"/>
            <w:vAlign w:val="bottom"/>
          </w:tcPr>
          <w:p w14:paraId="7BA2C1AC" w14:textId="37FEAEE3" w:rsidR="005B2584" w:rsidRPr="00C64973" w:rsidRDefault="00972614" w:rsidP="00E51125">
            <w:pPr>
              <w:spacing w:after="0" w:line="288" w:lineRule="auto"/>
              <w:jc w:val="center"/>
            </w:pPr>
            <w:r w:rsidRPr="00C64973">
              <w:t>148</w:t>
            </w:r>
          </w:p>
        </w:tc>
      </w:tr>
      <w:tr w:rsidR="005B2584" w:rsidRPr="00C64973" w14:paraId="4D490B71" w14:textId="77777777" w:rsidTr="00E51125">
        <w:tc>
          <w:tcPr>
            <w:tcW w:w="4698" w:type="dxa"/>
            <w:vAlign w:val="bottom"/>
          </w:tcPr>
          <w:p w14:paraId="70A60E30" w14:textId="40037275" w:rsidR="005B2584" w:rsidRPr="00C64973" w:rsidRDefault="005B2584" w:rsidP="00E51125">
            <w:pPr>
              <w:spacing w:after="0" w:line="288" w:lineRule="auto"/>
              <w:rPr>
                <w:rFonts w:eastAsia="MS Mincho"/>
                <w:b/>
                <w:i/>
                <w:iCs/>
                <w:szCs w:val="24"/>
              </w:rPr>
            </w:pPr>
            <w:r w:rsidRPr="00C64973">
              <w:rPr>
                <w:b/>
              </w:rPr>
              <w:t>O&amp;M-only</w:t>
            </w:r>
            <w:r w:rsidR="0086126F" w:rsidRPr="00C64973">
              <w:rPr>
                <w:b/>
              </w:rPr>
              <w:t xml:space="preserve"> services (7</w:t>
            </w:r>
            <w:r w:rsidR="001264B5" w:rsidRPr="00C64973">
              <w:rPr>
                <w:b/>
              </w:rPr>
              <w:t xml:space="preserve"> </w:t>
            </w:r>
            <w:r w:rsidRPr="00C64973">
              <w:rPr>
                <w:b/>
              </w:rPr>
              <w:t>regions)</w:t>
            </w:r>
          </w:p>
        </w:tc>
        <w:tc>
          <w:tcPr>
            <w:tcW w:w="1200" w:type="dxa"/>
            <w:vAlign w:val="bottom"/>
          </w:tcPr>
          <w:p w14:paraId="2D7B2DA4" w14:textId="347579FA" w:rsidR="005B2584" w:rsidRPr="00C64973" w:rsidRDefault="00972614" w:rsidP="00E51125">
            <w:pPr>
              <w:spacing w:after="0" w:line="288" w:lineRule="auto"/>
              <w:jc w:val="center"/>
            </w:pPr>
            <w:r w:rsidRPr="00C64973">
              <w:t>173</w:t>
            </w:r>
          </w:p>
        </w:tc>
        <w:tc>
          <w:tcPr>
            <w:tcW w:w="1200" w:type="dxa"/>
            <w:vAlign w:val="bottom"/>
          </w:tcPr>
          <w:p w14:paraId="6992BD20" w14:textId="1CCD16D5" w:rsidR="005B2584" w:rsidRPr="00C64973" w:rsidRDefault="00972614" w:rsidP="00E51125">
            <w:pPr>
              <w:spacing w:after="0" w:line="288" w:lineRule="auto"/>
              <w:jc w:val="center"/>
            </w:pPr>
            <w:r w:rsidRPr="00C64973">
              <w:t>170</w:t>
            </w:r>
          </w:p>
        </w:tc>
        <w:tc>
          <w:tcPr>
            <w:tcW w:w="1200" w:type="dxa"/>
            <w:vAlign w:val="bottom"/>
          </w:tcPr>
          <w:p w14:paraId="3D6E5894" w14:textId="6EED618C" w:rsidR="005B2584" w:rsidRPr="00C64973" w:rsidRDefault="0086126F" w:rsidP="00E51125">
            <w:pPr>
              <w:spacing w:after="0" w:line="288" w:lineRule="auto"/>
              <w:jc w:val="center"/>
            </w:pPr>
            <w:r w:rsidRPr="00C64973">
              <w:t>177</w:t>
            </w:r>
          </w:p>
        </w:tc>
      </w:tr>
      <w:tr w:rsidR="005B2584" w:rsidRPr="00C64973" w14:paraId="4B1DB6B8" w14:textId="77777777" w:rsidTr="007C065B">
        <w:tc>
          <w:tcPr>
            <w:tcW w:w="4698" w:type="dxa"/>
            <w:vAlign w:val="bottom"/>
          </w:tcPr>
          <w:p w14:paraId="0648DA8D" w14:textId="09F1C74E" w:rsidR="005B2584" w:rsidRPr="00C64973" w:rsidRDefault="005B2584" w:rsidP="00E51125">
            <w:pPr>
              <w:spacing w:after="0" w:line="288" w:lineRule="auto"/>
              <w:rPr>
                <w:rFonts w:eastAsia="MS Mincho"/>
                <w:b/>
                <w:i/>
                <w:iCs/>
                <w:szCs w:val="24"/>
              </w:rPr>
            </w:pPr>
            <w:r w:rsidRPr="00C64973">
              <w:rPr>
                <w:b/>
              </w:rPr>
              <w:t xml:space="preserve">Both VI and O&amp;M </w:t>
            </w:r>
            <w:r w:rsidR="001264B5" w:rsidRPr="00C64973">
              <w:rPr>
                <w:b/>
              </w:rPr>
              <w:t>services (3</w:t>
            </w:r>
            <w:r w:rsidRPr="00C64973">
              <w:rPr>
                <w:b/>
              </w:rPr>
              <w:t xml:space="preserve"> regions)</w:t>
            </w:r>
          </w:p>
        </w:tc>
        <w:tc>
          <w:tcPr>
            <w:tcW w:w="1200" w:type="dxa"/>
            <w:vAlign w:val="bottom"/>
          </w:tcPr>
          <w:p w14:paraId="33F5074D" w14:textId="4B03E3D6" w:rsidR="005B2584" w:rsidRPr="00C64973" w:rsidRDefault="00972614" w:rsidP="00E51125">
            <w:pPr>
              <w:spacing w:after="0" w:line="288" w:lineRule="auto"/>
              <w:jc w:val="center"/>
            </w:pPr>
            <w:r w:rsidRPr="00C64973">
              <w:t>71</w:t>
            </w:r>
          </w:p>
        </w:tc>
        <w:tc>
          <w:tcPr>
            <w:tcW w:w="1200" w:type="dxa"/>
            <w:vAlign w:val="bottom"/>
          </w:tcPr>
          <w:p w14:paraId="5A25D1AA" w14:textId="2938B634" w:rsidR="005B2584" w:rsidRPr="00C64973" w:rsidRDefault="00972614" w:rsidP="00E51125">
            <w:pPr>
              <w:spacing w:after="0" w:line="288" w:lineRule="auto"/>
              <w:jc w:val="center"/>
            </w:pPr>
            <w:r w:rsidRPr="00C64973">
              <w:t>79</w:t>
            </w:r>
          </w:p>
        </w:tc>
        <w:tc>
          <w:tcPr>
            <w:tcW w:w="1200" w:type="dxa"/>
            <w:vAlign w:val="center"/>
          </w:tcPr>
          <w:p w14:paraId="77E9458A" w14:textId="6775A912" w:rsidR="005B2584" w:rsidRPr="00C64973" w:rsidRDefault="00823F79" w:rsidP="00823F79">
            <w:pPr>
              <w:spacing w:after="0" w:line="288" w:lineRule="auto"/>
            </w:pPr>
            <w:r w:rsidRPr="00C64973">
              <w:t xml:space="preserve">      </w:t>
            </w:r>
            <w:r w:rsidR="00972614" w:rsidRPr="00C64973">
              <w:t>87</w:t>
            </w:r>
          </w:p>
        </w:tc>
      </w:tr>
      <w:tr w:rsidR="005B2584" w:rsidRPr="00C64973" w14:paraId="1CED3162" w14:textId="77777777" w:rsidTr="00E51125">
        <w:tc>
          <w:tcPr>
            <w:tcW w:w="4698" w:type="dxa"/>
            <w:vAlign w:val="bottom"/>
          </w:tcPr>
          <w:p w14:paraId="4DF786C9" w14:textId="414700FB" w:rsidR="005B2584" w:rsidRPr="00C64973" w:rsidRDefault="005B2584" w:rsidP="00E51125">
            <w:pPr>
              <w:spacing w:after="0" w:line="288" w:lineRule="auto"/>
              <w:rPr>
                <w:rFonts w:cs="Arial"/>
                <w:b/>
                <w:bCs/>
              </w:rPr>
            </w:pPr>
            <w:r w:rsidRPr="00C64973">
              <w:rPr>
                <w:rFonts w:cs="Arial"/>
                <w:b/>
                <w:bCs/>
              </w:rPr>
              <w:t>Total</w:t>
            </w:r>
          </w:p>
        </w:tc>
        <w:tc>
          <w:tcPr>
            <w:tcW w:w="1200" w:type="dxa"/>
            <w:vAlign w:val="bottom"/>
          </w:tcPr>
          <w:p w14:paraId="2BFAB3F9" w14:textId="6ACD46F3" w:rsidR="005B2584" w:rsidRPr="00C64973" w:rsidRDefault="00972614" w:rsidP="00E51125">
            <w:pPr>
              <w:spacing w:after="0" w:line="288" w:lineRule="auto"/>
              <w:jc w:val="center"/>
              <w:rPr>
                <w:rFonts w:cs="Arial"/>
                <w:b/>
                <w:bCs/>
              </w:rPr>
            </w:pPr>
            <w:r w:rsidRPr="00C64973">
              <w:rPr>
                <w:rFonts w:cs="Arial"/>
                <w:b/>
                <w:bCs/>
              </w:rPr>
              <w:t>375</w:t>
            </w:r>
          </w:p>
        </w:tc>
        <w:tc>
          <w:tcPr>
            <w:tcW w:w="1200" w:type="dxa"/>
            <w:vAlign w:val="bottom"/>
          </w:tcPr>
          <w:p w14:paraId="4BD720F6" w14:textId="016DB62A" w:rsidR="005B2584" w:rsidRPr="00C64973" w:rsidRDefault="00972614" w:rsidP="00E51125">
            <w:pPr>
              <w:spacing w:after="0" w:line="288" w:lineRule="auto"/>
              <w:jc w:val="center"/>
              <w:rPr>
                <w:rFonts w:cs="Arial"/>
                <w:b/>
                <w:bCs/>
              </w:rPr>
            </w:pPr>
            <w:r w:rsidRPr="00C64973">
              <w:rPr>
                <w:rFonts w:cs="Arial"/>
                <w:b/>
                <w:bCs/>
              </w:rPr>
              <w:t>396</w:t>
            </w:r>
          </w:p>
        </w:tc>
        <w:tc>
          <w:tcPr>
            <w:tcW w:w="1200" w:type="dxa"/>
            <w:vAlign w:val="bottom"/>
          </w:tcPr>
          <w:p w14:paraId="17185E7A" w14:textId="7A664B75" w:rsidR="005B2584" w:rsidRPr="00C64973" w:rsidRDefault="0086126F" w:rsidP="00E51125">
            <w:pPr>
              <w:spacing w:after="0" w:line="288" w:lineRule="auto"/>
              <w:jc w:val="center"/>
              <w:rPr>
                <w:rFonts w:cs="Arial"/>
                <w:b/>
                <w:bCs/>
              </w:rPr>
            </w:pPr>
            <w:r w:rsidRPr="00C64973">
              <w:rPr>
                <w:rFonts w:cs="Arial"/>
                <w:b/>
                <w:bCs/>
              </w:rPr>
              <w:t>412</w:t>
            </w:r>
          </w:p>
        </w:tc>
      </w:tr>
    </w:tbl>
    <w:p w14:paraId="528C45E1" w14:textId="287D820A" w:rsidR="005B2584" w:rsidRPr="00C64973" w:rsidRDefault="005B2584" w:rsidP="005B2584">
      <w:pPr>
        <w:spacing w:after="0"/>
        <w:rPr>
          <w:rFonts w:ascii="Cambria" w:hAnsi="Cambria"/>
        </w:rPr>
      </w:pPr>
    </w:p>
    <w:p w14:paraId="6A61BB4D" w14:textId="74A7CA62" w:rsidR="005B2584" w:rsidRPr="00C64973" w:rsidRDefault="005B2584" w:rsidP="005B2584">
      <w:pPr>
        <w:spacing w:after="0"/>
      </w:pPr>
    </w:p>
    <w:p w14:paraId="425B6EC3" w14:textId="41ECCC60" w:rsidR="005B2584" w:rsidRPr="00C64973" w:rsidRDefault="005B2584" w:rsidP="005B2584">
      <w:pPr>
        <w:spacing w:after="0"/>
      </w:pPr>
    </w:p>
    <w:p w14:paraId="35E489BF" w14:textId="0B4B4A7A" w:rsidR="007328FD" w:rsidRPr="00C64973" w:rsidRDefault="007328FD" w:rsidP="005B2584"/>
    <w:p w14:paraId="7FF3CD9F" w14:textId="24699523" w:rsidR="00877CFA" w:rsidRPr="00C64973" w:rsidRDefault="00877CFA" w:rsidP="00877CFA">
      <w:pPr>
        <w:spacing w:after="0" w:line="240" w:lineRule="auto"/>
      </w:pPr>
    </w:p>
    <w:p w14:paraId="7A47B4B0" w14:textId="5C760E87" w:rsidR="00877CFA" w:rsidRPr="00C64973" w:rsidRDefault="00877CFA" w:rsidP="00877CFA">
      <w:pPr>
        <w:spacing w:after="0" w:line="240" w:lineRule="auto"/>
      </w:pPr>
    </w:p>
    <w:p w14:paraId="1AB16B1C" w14:textId="74809821" w:rsidR="00877CFA" w:rsidRPr="00C64973" w:rsidRDefault="00877CFA" w:rsidP="00877CFA">
      <w:pPr>
        <w:spacing w:after="0" w:line="240" w:lineRule="auto"/>
      </w:pPr>
    </w:p>
    <w:p w14:paraId="6BCEEF98" w14:textId="7A0CC6AB" w:rsidR="00EC396D" w:rsidRPr="00C64973" w:rsidRDefault="00EC396D" w:rsidP="00877CFA">
      <w:pPr>
        <w:spacing w:after="0" w:line="240" w:lineRule="auto"/>
        <w:rPr>
          <w:sz w:val="20"/>
        </w:rPr>
      </w:pPr>
      <w:r w:rsidRPr="00C64973">
        <w:rPr>
          <w:sz w:val="20"/>
        </w:rPr>
        <w:t>Graph 4: Students Receiving Services from ESCs</w:t>
      </w:r>
    </w:p>
    <w:p w14:paraId="089432A1" w14:textId="37B51FF7" w:rsidR="00E877E4" w:rsidRPr="00C64973" w:rsidRDefault="00E877E4" w:rsidP="00E877E4">
      <w:pPr>
        <w:spacing w:after="0" w:line="240" w:lineRule="auto"/>
        <w:rPr>
          <w:sz w:val="20"/>
        </w:rPr>
      </w:pPr>
    </w:p>
    <w:p w14:paraId="0E15F540" w14:textId="28E2E1AE" w:rsidR="00E877E4" w:rsidRPr="00C64973" w:rsidRDefault="0095623C" w:rsidP="00E877E4">
      <w:pPr>
        <w:spacing w:after="0" w:line="240" w:lineRule="auto"/>
        <w:rPr>
          <w:rFonts w:cs="Arial"/>
          <w:sz w:val="20"/>
        </w:rPr>
      </w:pPr>
      <w:r>
        <w:rPr>
          <w:rFonts w:cs="Arial"/>
          <w:sz w:val="20"/>
        </w:rPr>
        <w:t>C</w:t>
      </w:r>
      <w:r w:rsidRPr="0095623C">
        <w:rPr>
          <w:rFonts w:cs="Arial"/>
          <w:sz w:val="20"/>
        </w:rPr>
        <w:t>hart shows a decrease in O&amp;M services from ESCs between 2014 and 2019 and a decrease in VI services between 2016 and 2020. The number of students receiving both VI and O&amp;M services increased this year by 8. The total number of students served through ESCs in 2020 was 412, an increases of 16 students. The highest total of students served by ESCs during this time frame was 523 in 2011. The least number of students was reported in 2018 (375).</w:t>
      </w:r>
    </w:p>
    <w:tbl>
      <w:tblPr>
        <w:tblW w:w="0" w:type="auto"/>
        <w:tblLook w:val="04A0" w:firstRow="1" w:lastRow="0" w:firstColumn="1" w:lastColumn="0" w:noHBand="0" w:noVBand="1"/>
      </w:tblPr>
      <w:tblGrid>
        <w:gridCol w:w="1709"/>
        <w:gridCol w:w="550"/>
        <w:gridCol w:w="550"/>
        <w:gridCol w:w="661"/>
        <w:gridCol w:w="661"/>
        <w:gridCol w:w="661"/>
        <w:gridCol w:w="661"/>
        <w:gridCol w:w="661"/>
        <w:gridCol w:w="661"/>
        <w:gridCol w:w="661"/>
        <w:gridCol w:w="661"/>
        <w:gridCol w:w="661"/>
        <w:gridCol w:w="661"/>
        <w:gridCol w:w="661"/>
      </w:tblGrid>
      <w:tr w:rsidR="00155DEE" w:rsidRPr="00155DEE" w14:paraId="0BF62036" w14:textId="77777777" w:rsidTr="00155DEE">
        <w:trPr>
          <w:trHeight w:val="315"/>
        </w:trPr>
        <w:tc>
          <w:tcPr>
            <w:tcW w:w="0" w:type="auto"/>
            <w:tcBorders>
              <w:top w:val="nil"/>
              <w:left w:val="nil"/>
              <w:bottom w:val="nil"/>
              <w:right w:val="nil"/>
            </w:tcBorders>
            <w:shd w:val="clear" w:color="FFFF00" w:fill="FFFF00"/>
            <w:noWrap/>
            <w:vAlign w:val="bottom"/>
            <w:hideMark/>
          </w:tcPr>
          <w:p w14:paraId="0AEEE1E3" w14:textId="10B7139E" w:rsidR="00155DEE" w:rsidRPr="00155DEE" w:rsidRDefault="00155DEE" w:rsidP="00155DEE">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95C7B17" w14:textId="77777777" w:rsidR="00155DEE" w:rsidRPr="00155DEE" w:rsidRDefault="00155DEE" w:rsidP="00155DEE">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BEAC89E" w14:textId="3D3C8DE2" w:rsidR="00155DEE" w:rsidRPr="00155DEE" w:rsidRDefault="00155DEE" w:rsidP="00155DEE">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91F3622" w14:textId="77777777" w:rsidR="00155DEE" w:rsidRPr="00155DEE" w:rsidRDefault="00155DEE" w:rsidP="00155DEE">
            <w:pPr>
              <w:spacing w:after="0" w:line="240" w:lineRule="auto"/>
              <w:jc w:val="right"/>
              <w:rPr>
                <w:rFonts w:cs="Arial"/>
                <w:sz w:val="20"/>
              </w:rPr>
            </w:pPr>
            <w:r w:rsidRPr="00155DEE">
              <w:rPr>
                <w:rFonts w:cs="Arial"/>
                <w:sz w:val="20"/>
              </w:rPr>
              <w:t>2010</w:t>
            </w:r>
          </w:p>
        </w:tc>
        <w:tc>
          <w:tcPr>
            <w:tcW w:w="0" w:type="auto"/>
            <w:tcBorders>
              <w:top w:val="nil"/>
              <w:left w:val="nil"/>
              <w:bottom w:val="nil"/>
              <w:right w:val="nil"/>
            </w:tcBorders>
            <w:shd w:val="clear" w:color="auto" w:fill="auto"/>
            <w:noWrap/>
            <w:vAlign w:val="bottom"/>
            <w:hideMark/>
          </w:tcPr>
          <w:p w14:paraId="7D6C7CEE" w14:textId="77777777" w:rsidR="00155DEE" w:rsidRPr="00155DEE" w:rsidRDefault="00155DEE" w:rsidP="00155DEE">
            <w:pPr>
              <w:spacing w:after="0" w:line="240" w:lineRule="auto"/>
              <w:jc w:val="right"/>
              <w:rPr>
                <w:rFonts w:cs="Arial"/>
                <w:sz w:val="20"/>
              </w:rPr>
            </w:pPr>
            <w:r w:rsidRPr="00155DEE">
              <w:rPr>
                <w:rFonts w:cs="Arial"/>
                <w:sz w:val="20"/>
              </w:rPr>
              <w:t>2011</w:t>
            </w:r>
          </w:p>
        </w:tc>
        <w:tc>
          <w:tcPr>
            <w:tcW w:w="0" w:type="auto"/>
            <w:tcBorders>
              <w:top w:val="nil"/>
              <w:left w:val="nil"/>
              <w:bottom w:val="nil"/>
              <w:right w:val="nil"/>
            </w:tcBorders>
            <w:shd w:val="clear" w:color="auto" w:fill="auto"/>
            <w:noWrap/>
            <w:vAlign w:val="bottom"/>
            <w:hideMark/>
          </w:tcPr>
          <w:p w14:paraId="4601BAB6" w14:textId="77777777" w:rsidR="00155DEE" w:rsidRPr="00155DEE" w:rsidRDefault="00155DEE" w:rsidP="00155DEE">
            <w:pPr>
              <w:spacing w:after="0" w:line="240" w:lineRule="auto"/>
              <w:jc w:val="right"/>
              <w:rPr>
                <w:rFonts w:cs="Arial"/>
                <w:sz w:val="20"/>
              </w:rPr>
            </w:pPr>
            <w:r w:rsidRPr="00155DEE">
              <w:rPr>
                <w:rFonts w:cs="Arial"/>
                <w:sz w:val="20"/>
              </w:rPr>
              <w:t>2012</w:t>
            </w:r>
          </w:p>
        </w:tc>
        <w:tc>
          <w:tcPr>
            <w:tcW w:w="0" w:type="auto"/>
            <w:tcBorders>
              <w:top w:val="nil"/>
              <w:left w:val="nil"/>
              <w:bottom w:val="nil"/>
              <w:right w:val="nil"/>
            </w:tcBorders>
            <w:shd w:val="clear" w:color="auto" w:fill="auto"/>
            <w:noWrap/>
            <w:vAlign w:val="bottom"/>
            <w:hideMark/>
          </w:tcPr>
          <w:p w14:paraId="4B64A285" w14:textId="17659B86" w:rsidR="00155DEE" w:rsidRPr="00155DEE" w:rsidRDefault="00155DEE" w:rsidP="00155DEE">
            <w:pPr>
              <w:spacing w:after="0" w:line="240" w:lineRule="auto"/>
              <w:jc w:val="right"/>
              <w:rPr>
                <w:rFonts w:cs="Arial"/>
                <w:sz w:val="20"/>
              </w:rPr>
            </w:pPr>
            <w:r w:rsidRPr="00155DEE">
              <w:rPr>
                <w:rFonts w:cs="Arial"/>
                <w:sz w:val="20"/>
              </w:rPr>
              <w:t>2013</w:t>
            </w:r>
          </w:p>
        </w:tc>
        <w:tc>
          <w:tcPr>
            <w:tcW w:w="0" w:type="auto"/>
            <w:tcBorders>
              <w:top w:val="nil"/>
              <w:left w:val="nil"/>
              <w:bottom w:val="nil"/>
              <w:right w:val="nil"/>
            </w:tcBorders>
            <w:shd w:val="clear" w:color="auto" w:fill="auto"/>
            <w:noWrap/>
            <w:vAlign w:val="bottom"/>
            <w:hideMark/>
          </w:tcPr>
          <w:p w14:paraId="6EBBB050" w14:textId="77777777" w:rsidR="00155DEE" w:rsidRPr="00155DEE" w:rsidRDefault="00155DEE" w:rsidP="00155DEE">
            <w:pPr>
              <w:spacing w:after="0" w:line="240" w:lineRule="auto"/>
              <w:jc w:val="right"/>
              <w:rPr>
                <w:rFonts w:cs="Arial"/>
                <w:sz w:val="20"/>
              </w:rPr>
            </w:pPr>
            <w:r w:rsidRPr="00155DEE">
              <w:rPr>
                <w:rFonts w:cs="Arial"/>
                <w:sz w:val="20"/>
              </w:rPr>
              <w:t>2014</w:t>
            </w:r>
          </w:p>
        </w:tc>
        <w:tc>
          <w:tcPr>
            <w:tcW w:w="0" w:type="auto"/>
            <w:tcBorders>
              <w:top w:val="nil"/>
              <w:left w:val="nil"/>
              <w:bottom w:val="nil"/>
              <w:right w:val="nil"/>
            </w:tcBorders>
            <w:shd w:val="clear" w:color="auto" w:fill="auto"/>
            <w:noWrap/>
            <w:vAlign w:val="bottom"/>
            <w:hideMark/>
          </w:tcPr>
          <w:p w14:paraId="3167F1C3" w14:textId="77777777" w:rsidR="00155DEE" w:rsidRPr="00155DEE" w:rsidRDefault="00155DEE" w:rsidP="00155DEE">
            <w:pPr>
              <w:spacing w:after="0" w:line="240" w:lineRule="auto"/>
              <w:jc w:val="right"/>
              <w:rPr>
                <w:rFonts w:cs="Arial"/>
                <w:sz w:val="20"/>
              </w:rPr>
            </w:pPr>
            <w:r w:rsidRPr="00155DEE">
              <w:rPr>
                <w:rFonts w:cs="Arial"/>
                <w:sz w:val="20"/>
              </w:rPr>
              <w:t>2015</w:t>
            </w:r>
          </w:p>
        </w:tc>
        <w:tc>
          <w:tcPr>
            <w:tcW w:w="0" w:type="auto"/>
            <w:tcBorders>
              <w:top w:val="nil"/>
              <w:left w:val="nil"/>
              <w:bottom w:val="nil"/>
              <w:right w:val="nil"/>
            </w:tcBorders>
            <w:shd w:val="clear" w:color="auto" w:fill="auto"/>
            <w:noWrap/>
            <w:vAlign w:val="bottom"/>
            <w:hideMark/>
          </w:tcPr>
          <w:p w14:paraId="7BB293B0" w14:textId="77777777" w:rsidR="00155DEE" w:rsidRPr="00155DEE" w:rsidRDefault="00155DEE" w:rsidP="00155DEE">
            <w:pPr>
              <w:spacing w:after="0" w:line="240" w:lineRule="auto"/>
              <w:jc w:val="right"/>
              <w:rPr>
                <w:rFonts w:cs="Arial"/>
                <w:sz w:val="20"/>
              </w:rPr>
            </w:pPr>
            <w:r w:rsidRPr="00155DEE">
              <w:rPr>
                <w:rFonts w:cs="Arial"/>
                <w:sz w:val="20"/>
              </w:rPr>
              <w:t>2016</w:t>
            </w:r>
          </w:p>
        </w:tc>
        <w:tc>
          <w:tcPr>
            <w:tcW w:w="0" w:type="auto"/>
            <w:tcBorders>
              <w:top w:val="nil"/>
              <w:left w:val="nil"/>
              <w:bottom w:val="nil"/>
              <w:right w:val="nil"/>
            </w:tcBorders>
            <w:shd w:val="clear" w:color="auto" w:fill="auto"/>
            <w:noWrap/>
            <w:vAlign w:val="bottom"/>
            <w:hideMark/>
          </w:tcPr>
          <w:p w14:paraId="0CD8BC94" w14:textId="77777777" w:rsidR="00155DEE" w:rsidRPr="00155DEE" w:rsidRDefault="00155DEE" w:rsidP="00155DEE">
            <w:pPr>
              <w:spacing w:after="0" w:line="240" w:lineRule="auto"/>
              <w:jc w:val="right"/>
              <w:rPr>
                <w:rFonts w:cs="Arial"/>
                <w:sz w:val="20"/>
              </w:rPr>
            </w:pPr>
            <w:r w:rsidRPr="00155DEE">
              <w:rPr>
                <w:rFonts w:cs="Arial"/>
                <w:sz w:val="20"/>
              </w:rPr>
              <w:t>2017</w:t>
            </w:r>
          </w:p>
        </w:tc>
        <w:tc>
          <w:tcPr>
            <w:tcW w:w="0" w:type="auto"/>
            <w:tcBorders>
              <w:top w:val="nil"/>
              <w:left w:val="nil"/>
              <w:bottom w:val="nil"/>
              <w:right w:val="nil"/>
            </w:tcBorders>
            <w:shd w:val="clear" w:color="auto" w:fill="auto"/>
            <w:noWrap/>
            <w:vAlign w:val="bottom"/>
            <w:hideMark/>
          </w:tcPr>
          <w:p w14:paraId="71C73422" w14:textId="77777777" w:rsidR="00155DEE" w:rsidRPr="00155DEE" w:rsidRDefault="00155DEE" w:rsidP="00155DEE">
            <w:pPr>
              <w:spacing w:after="0" w:line="240" w:lineRule="auto"/>
              <w:jc w:val="right"/>
              <w:rPr>
                <w:rFonts w:cs="Arial"/>
                <w:sz w:val="20"/>
              </w:rPr>
            </w:pPr>
            <w:r w:rsidRPr="00155DEE">
              <w:rPr>
                <w:rFonts w:cs="Arial"/>
                <w:sz w:val="20"/>
              </w:rPr>
              <w:t>2018</w:t>
            </w:r>
          </w:p>
        </w:tc>
        <w:tc>
          <w:tcPr>
            <w:tcW w:w="0" w:type="auto"/>
            <w:tcBorders>
              <w:top w:val="nil"/>
              <w:left w:val="nil"/>
              <w:bottom w:val="nil"/>
              <w:right w:val="nil"/>
            </w:tcBorders>
            <w:shd w:val="clear" w:color="auto" w:fill="auto"/>
            <w:noWrap/>
            <w:vAlign w:val="bottom"/>
            <w:hideMark/>
          </w:tcPr>
          <w:p w14:paraId="0227E94D" w14:textId="77777777" w:rsidR="00155DEE" w:rsidRPr="00155DEE" w:rsidRDefault="00155DEE" w:rsidP="00155DEE">
            <w:pPr>
              <w:spacing w:after="0" w:line="240" w:lineRule="auto"/>
              <w:jc w:val="right"/>
              <w:rPr>
                <w:rFonts w:cs="Arial"/>
                <w:sz w:val="20"/>
              </w:rPr>
            </w:pPr>
            <w:r w:rsidRPr="00155DEE">
              <w:rPr>
                <w:rFonts w:cs="Arial"/>
                <w:sz w:val="20"/>
              </w:rPr>
              <w:t>2019</w:t>
            </w:r>
          </w:p>
        </w:tc>
        <w:tc>
          <w:tcPr>
            <w:tcW w:w="0" w:type="auto"/>
            <w:tcBorders>
              <w:top w:val="nil"/>
              <w:left w:val="nil"/>
              <w:bottom w:val="nil"/>
              <w:right w:val="nil"/>
            </w:tcBorders>
            <w:shd w:val="clear" w:color="auto" w:fill="auto"/>
            <w:noWrap/>
            <w:vAlign w:val="bottom"/>
            <w:hideMark/>
          </w:tcPr>
          <w:p w14:paraId="502DE6A5" w14:textId="77777777" w:rsidR="00155DEE" w:rsidRPr="00155DEE" w:rsidRDefault="00155DEE" w:rsidP="00155DEE">
            <w:pPr>
              <w:spacing w:after="0" w:line="240" w:lineRule="auto"/>
              <w:jc w:val="right"/>
              <w:rPr>
                <w:rFonts w:cs="Arial"/>
                <w:sz w:val="20"/>
              </w:rPr>
            </w:pPr>
            <w:r w:rsidRPr="00155DEE">
              <w:rPr>
                <w:rFonts w:cs="Arial"/>
                <w:sz w:val="20"/>
              </w:rPr>
              <w:t>2020</w:t>
            </w:r>
          </w:p>
        </w:tc>
      </w:tr>
      <w:tr w:rsidR="00155DEE" w:rsidRPr="00155DEE" w14:paraId="736FE7C8" w14:textId="77777777" w:rsidTr="00155DEE">
        <w:trPr>
          <w:trHeight w:val="255"/>
        </w:trPr>
        <w:tc>
          <w:tcPr>
            <w:tcW w:w="0" w:type="auto"/>
            <w:tcBorders>
              <w:top w:val="nil"/>
              <w:left w:val="nil"/>
              <w:bottom w:val="nil"/>
              <w:right w:val="nil"/>
            </w:tcBorders>
            <w:shd w:val="clear" w:color="auto" w:fill="auto"/>
            <w:vAlign w:val="bottom"/>
            <w:hideMark/>
          </w:tcPr>
          <w:p w14:paraId="7C3E810B" w14:textId="2A7719FC" w:rsidR="00155DEE" w:rsidRPr="00155DEE" w:rsidRDefault="00155DEE" w:rsidP="00155DEE">
            <w:pPr>
              <w:spacing w:after="0" w:line="240" w:lineRule="auto"/>
              <w:rPr>
                <w:rFonts w:cs="Arial"/>
                <w:sz w:val="20"/>
              </w:rPr>
            </w:pPr>
            <w:r w:rsidRPr="00155DEE">
              <w:rPr>
                <w:rFonts w:cs="Arial"/>
                <w:sz w:val="20"/>
              </w:rPr>
              <w:t xml:space="preserve">VI Services </w:t>
            </w:r>
          </w:p>
        </w:tc>
        <w:tc>
          <w:tcPr>
            <w:tcW w:w="0" w:type="auto"/>
            <w:tcBorders>
              <w:top w:val="nil"/>
              <w:left w:val="nil"/>
              <w:bottom w:val="nil"/>
              <w:right w:val="nil"/>
            </w:tcBorders>
            <w:shd w:val="clear" w:color="auto" w:fill="auto"/>
            <w:noWrap/>
            <w:vAlign w:val="bottom"/>
            <w:hideMark/>
          </w:tcPr>
          <w:p w14:paraId="04E98381" w14:textId="77777777" w:rsidR="00155DEE" w:rsidRPr="00155DEE" w:rsidRDefault="00155DEE" w:rsidP="00155DEE">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D668CC3" w14:textId="3AB7D21F" w:rsidR="00155DEE" w:rsidRPr="00155DEE" w:rsidRDefault="00155DEE" w:rsidP="00155DEE">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232BE5A" w14:textId="77777777" w:rsidR="00155DEE" w:rsidRPr="00155DEE" w:rsidRDefault="00155DEE" w:rsidP="00155DEE">
            <w:pPr>
              <w:spacing w:after="0" w:line="240" w:lineRule="auto"/>
              <w:jc w:val="right"/>
              <w:rPr>
                <w:rFonts w:cs="Arial"/>
                <w:sz w:val="20"/>
              </w:rPr>
            </w:pPr>
            <w:r w:rsidRPr="00155DEE">
              <w:rPr>
                <w:rFonts w:cs="Arial"/>
                <w:sz w:val="20"/>
              </w:rPr>
              <w:t>144</w:t>
            </w:r>
          </w:p>
        </w:tc>
        <w:tc>
          <w:tcPr>
            <w:tcW w:w="0" w:type="auto"/>
            <w:tcBorders>
              <w:top w:val="nil"/>
              <w:left w:val="nil"/>
              <w:bottom w:val="nil"/>
              <w:right w:val="nil"/>
            </w:tcBorders>
            <w:shd w:val="clear" w:color="auto" w:fill="auto"/>
            <w:noWrap/>
            <w:vAlign w:val="bottom"/>
            <w:hideMark/>
          </w:tcPr>
          <w:p w14:paraId="5FBD4E4C" w14:textId="77777777" w:rsidR="00155DEE" w:rsidRPr="00155DEE" w:rsidRDefault="00155DEE" w:rsidP="00155DEE">
            <w:pPr>
              <w:spacing w:after="0" w:line="240" w:lineRule="auto"/>
              <w:jc w:val="right"/>
              <w:rPr>
                <w:rFonts w:cs="Arial"/>
                <w:sz w:val="20"/>
              </w:rPr>
            </w:pPr>
            <w:r w:rsidRPr="00155DEE">
              <w:rPr>
                <w:rFonts w:cs="Arial"/>
                <w:sz w:val="20"/>
              </w:rPr>
              <w:t>190</w:t>
            </w:r>
          </w:p>
        </w:tc>
        <w:tc>
          <w:tcPr>
            <w:tcW w:w="0" w:type="auto"/>
            <w:tcBorders>
              <w:top w:val="nil"/>
              <w:left w:val="nil"/>
              <w:bottom w:val="nil"/>
              <w:right w:val="nil"/>
            </w:tcBorders>
            <w:shd w:val="clear" w:color="auto" w:fill="auto"/>
            <w:noWrap/>
            <w:vAlign w:val="bottom"/>
            <w:hideMark/>
          </w:tcPr>
          <w:p w14:paraId="7C719E03" w14:textId="77777777" w:rsidR="00155DEE" w:rsidRPr="00155DEE" w:rsidRDefault="00155DEE" w:rsidP="00155DEE">
            <w:pPr>
              <w:spacing w:after="0" w:line="240" w:lineRule="auto"/>
              <w:jc w:val="right"/>
              <w:rPr>
                <w:rFonts w:cs="Arial"/>
                <w:sz w:val="20"/>
              </w:rPr>
            </w:pPr>
            <w:r w:rsidRPr="00155DEE">
              <w:rPr>
                <w:rFonts w:cs="Arial"/>
                <w:sz w:val="20"/>
              </w:rPr>
              <w:t>135</w:t>
            </w:r>
          </w:p>
        </w:tc>
        <w:tc>
          <w:tcPr>
            <w:tcW w:w="0" w:type="auto"/>
            <w:tcBorders>
              <w:top w:val="nil"/>
              <w:left w:val="nil"/>
              <w:bottom w:val="nil"/>
              <w:right w:val="nil"/>
            </w:tcBorders>
            <w:shd w:val="clear" w:color="auto" w:fill="auto"/>
            <w:noWrap/>
            <w:vAlign w:val="bottom"/>
            <w:hideMark/>
          </w:tcPr>
          <w:p w14:paraId="2DC7C237" w14:textId="77777777" w:rsidR="00155DEE" w:rsidRPr="00155DEE" w:rsidRDefault="00155DEE" w:rsidP="00155DEE">
            <w:pPr>
              <w:spacing w:after="0" w:line="240" w:lineRule="auto"/>
              <w:jc w:val="right"/>
              <w:rPr>
                <w:rFonts w:cs="Arial"/>
                <w:sz w:val="20"/>
              </w:rPr>
            </w:pPr>
            <w:r w:rsidRPr="00155DEE">
              <w:rPr>
                <w:rFonts w:cs="Arial"/>
                <w:sz w:val="20"/>
              </w:rPr>
              <w:t>173</w:t>
            </w:r>
          </w:p>
        </w:tc>
        <w:tc>
          <w:tcPr>
            <w:tcW w:w="0" w:type="auto"/>
            <w:tcBorders>
              <w:top w:val="nil"/>
              <w:left w:val="nil"/>
              <w:bottom w:val="nil"/>
              <w:right w:val="nil"/>
            </w:tcBorders>
            <w:shd w:val="clear" w:color="auto" w:fill="auto"/>
            <w:noWrap/>
            <w:vAlign w:val="bottom"/>
            <w:hideMark/>
          </w:tcPr>
          <w:p w14:paraId="63728BD3" w14:textId="77777777" w:rsidR="00155DEE" w:rsidRPr="00155DEE" w:rsidRDefault="00155DEE" w:rsidP="00155DEE">
            <w:pPr>
              <w:spacing w:after="0" w:line="240" w:lineRule="auto"/>
              <w:jc w:val="right"/>
              <w:rPr>
                <w:rFonts w:cs="Arial"/>
                <w:sz w:val="20"/>
              </w:rPr>
            </w:pPr>
            <w:r w:rsidRPr="00155DEE">
              <w:rPr>
                <w:rFonts w:cs="Arial"/>
                <w:sz w:val="20"/>
              </w:rPr>
              <w:t>159</w:t>
            </w:r>
          </w:p>
        </w:tc>
        <w:tc>
          <w:tcPr>
            <w:tcW w:w="0" w:type="auto"/>
            <w:tcBorders>
              <w:top w:val="nil"/>
              <w:left w:val="nil"/>
              <w:bottom w:val="nil"/>
              <w:right w:val="nil"/>
            </w:tcBorders>
            <w:shd w:val="clear" w:color="auto" w:fill="auto"/>
            <w:noWrap/>
            <w:vAlign w:val="bottom"/>
            <w:hideMark/>
          </w:tcPr>
          <w:p w14:paraId="3C6B014F" w14:textId="77777777" w:rsidR="00155DEE" w:rsidRPr="00155DEE" w:rsidRDefault="00155DEE" w:rsidP="00155DEE">
            <w:pPr>
              <w:spacing w:after="0" w:line="240" w:lineRule="auto"/>
              <w:jc w:val="right"/>
              <w:rPr>
                <w:rFonts w:cs="Arial"/>
                <w:sz w:val="20"/>
              </w:rPr>
            </w:pPr>
            <w:r w:rsidRPr="00155DEE">
              <w:rPr>
                <w:rFonts w:cs="Arial"/>
                <w:sz w:val="20"/>
              </w:rPr>
              <w:t>167</w:t>
            </w:r>
          </w:p>
        </w:tc>
        <w:tc>
          <w:tcPr>
            <w:tcW w:w="0" w:type="auto"/>
            <w:tcBorders>
              <w:top w:val="nil"/>
              <w:left w:val="nil"/>
              <w:bottom w:val="nil"/>
              <w:right w:val="nil"/>
            </w:tcBorders>
            <w:shd w:val="clear" w:color="auto" w:fill="auto"/>
            <w:noWrap/>
            <w:vAlign w:val="bottom"/>
            <w:hideMark/>
          </w:tcPr>
          <w:p w14:paraId="701DFD80" w14:textId="77777777" w:rsidR="00155DEE" w:rsidRPr="00155DEE" w:rsidRDefault="00155DEE" w:rsidP="00155DEE">
            <w:pPr>
              <w:spacing w:after="0" w:line="240" w:lineRule="auto"/>
              <w:jc w:val="right"/>
              <w:rPr>
                <w:rFonts w:cs="Arial"/>
                <w:sz w:val="20"/>
              </w:rPr>
            </w:pPr>
            <w:r w:rsidRPr="00155DEE">
              <w:rPr>
                <w:rFonts w:cs="Arial"/>
                <w:sz w:val="20"/>
              </w:rPr>
              <w:t>175</w:t>
            </w:r>
          </w:p>
        </w:tc>
        <w:tc>
          <w:tcPr>
            <w:tcW w:w="0" w:type="auto"/>
            <w:tcBorders>
              <w:top w:val="nil"/>
              <w:left w:val="nil"/>
              <w:bottom w:val="nil"/>
              <w:right w:val="nil"/>
            </w:tcBorders>
            <w:shd w:val="clear" w:color="auto" w:fill="auto"/>
            <w:noWrap/>
            <w:vAlign w:val="bottom"/>
            <w:hideMark/>
          </w:tcPr>
          <w:p w14:paraId="4993147B" w14:textId="77777777" w:rsidR="00155DEE" w:rsidRPr="00155DEE" w:rsidRDefault="00155DEE" w:rsidP="00155DEE">
            <w:pPr>
              <w:spacing w:after="0" w:line="240" w:lineRule="auto"/>
              <w:jc w:val="right"/>
              <w:rPr>
                <w:rFonts w:cs="Arial"/>
                <w:sz w:val="20"/>
              </w:rPr>
            </w:pPr>
            <w:r w:rsidRPr="00155DEE">
              <w:rPr>
                <w:rFonts w:cs="Arial"/>
                <w:sz w:val="20"/>
              </w:rPr>
              <w:t>145</w:t>
            </w:r>
          </w:p>
        </w:tc>
        <w:tc>
          <w:tcPr>
            <w:tcW w:w="0" w:type="auto"/>
            <w:tcBorders>
              <w:top w:val="nil"/>
              <w:left w:val="nil"/>
              <w:bottom w:val="nil"/>
              <w:right w:val="nil"/>
            </w:tcBorders>
            <w:shd w:val="clear" w:color="auto" w:fill="auto"/>
            <w:noWrap/>
            <w:vAlign w:val="bottom"/>
            <w:hideMark/>
          </w:tcPr>
          <w:p w14:paraId="2A858BA0" w14:textId="77777777" w:rsidR="00155DEE" w:rsidRPr="00155DEE" w:rsidRDefault="00155DEE" w:rsidP="00155DEE">
            <w:pPr>
              <w:spacing w:after="0" w:line="240" w:lineRule="auto"/>
              <w:jc w:val="right"/>
              <w:rPr>
                <w:rFonts w:cs="Arial"/>
                <w:sz w:val="20"/>
              </w:rPr>
            </w:pPr>
            <w:r w:rsidRPr="00155DEE">
              <w:rPr>
                <w:rFonts w:cs="Arial"/>
                <w:sz w:val="20"/>
              </w:rPr>
              <w:t>131</w:t>
            </w:r>
          </w:p>
        </w:tc>
        <w:tc>
          <w:tcPr>
            <w:tcW w:w="0" w:type="auto"/>
            <w:tcBorders>
              <w:top w:val="nil"/>
              <w:left w:val="nil"/>
              <w:bottom w:val="nil"/>
              <w:right w:val="nil"/>
            </w:tcBorders>
            <w:shd w:val="clear" w:color="auto" w:fill="auto"/>
            <w:noWrap/>
            <w:vAlign w:val="bottom"/>
            <w:hideMark/>
          </w:tcPr>
          <w:p w14:paraId="604A43E7"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147</w:t>
            </w:r>
          </w:p>
        </w:tc>
        <w:tc>
          <w:tcPr>
            <w:tcW w:w="0" w:type="auto"/>
            <w:tcBorders>
              <w:top w:val="nil"/>
              <w:left w:val="nil"/>
              <w:bottom w:val="nil"/>
              <w:right w:val="nil"/>
            </w:tcBorders>
            <w:shd w:val="clear" w:color="auto" w:fill="auto"/>
            <w:noWrap/>
            <w:vAlign w:val="bottom"/>
            <w:hideMark/>
          </w:tcPr>
          <w:p w14:paraId="1C1BD966"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148</w:t>
            </w:r>
          </w:p>
        </w:tc>
      </w:tr>
      <w:tr w:rsidR="00155DEE" w:rsidRPr="00155DEE" w14:paraId="4E89F1FA" w14:textId="77777777" w:rsidTr="00155DEE">
        <w:trPr>
          <w:trHeight w:val="255"/>
        </w:trPr>
        <w:tc>
          <w:tcPr>
            <w:tcW w:w="0" w:type="auto"/>
            <w:tcBorders>
              <w:top w:val="nil"/>
              <w:left w:val="nil"/>
              <w:bottom w:val="nil"/>
              <w:right w:val="nil"/>
            </w:tcBorders>
            <w:shd w:val="clear" w:color="auto" w:fill="auto"/>
            <w:vAlign w:val="bottom"/>
            <w:hideMark/>
          </w:tcPr>
          <w:p w14:paraId="271BD9AC" w14:textId="3C563A6E" w:rsidR="00155DEE" w:rsidRPr="00155DEE" w:rsidRDefault="00155DEE" w:rsidP="00155DEE">
            <w:pPr>
              <w:spacing w:after="0" w:line="240" w:lineRule="auto"/>
              <w:rPr>
                <w:rFonts w:cs="Arial"/>
                <w:sz w:val="20"/>
              </w:rPr>
            </w:pPr>
            <w:r w:rsidRPr="00155DEE">
              <w:rPr>
                <w:rFonts w:cs="Arial"/>
                <w:sz w:val="20"/>
              </w:rPr>
              <w:t xml:space="preserve">O&amp;M Services </w:t>
            </w:r>
          </w:p>
        </w:tc>
        <w:tc>
          <w:tcPr>
            <w:tcW w:w="0" w:type="auto"/>
            <w:tcBorders>
              <w:top w:val="nil"/>
              <w:left w:val="nil"/>
              <w:bottom w:val="nil"/>
              <w:right w:val="nil"/>
            </w:tcBorders>
            <w:shd w:val="clear" w:color="auto" w:fill="auto"/>
            <w:noWrap/>
            <w:vAlign w:val="bottom"/>
            <w:hideMark/>
          </w:tcPr>
          <w:p w14:paraId="727A5241" w14:textId="77777777" w:rsidR="00155DEE" w:rsidRPr="00155DEE" w:rsidRDefault="00155DEE" w:rsidP="00155DEE">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59B27F59" w14:textId="77777777" w:rsidR="00155DEE" w:rsidRPr="00155DEE" w:rsidRDefault="00155DEE" w:rsidP="00155DEE">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FCC5D5D" w14:textId="77777777" w:rsidR="00155DEE" w:rsidRPr="00155DEE" w:rsidRDefault="00155DEE" w:rsidP="00155DEE">
            <w:pPr>
              <w:spacing w:after="0" w:line="240" w:lineRule="auto"/>
              <w:jc w:val="right"/>
              <w:rPr>
                <w:rFonts w:cs="Arial"/>
                <w:sz w:val="20"/>
              </w:rPr>
            </w:pPr>
            <w:r w:rsidRPr="00155DEE">
              <w:rPr>
                <w:rFonts w:cs="Arial"/>
                <w:sz w:val="20"/>
              </w:rPr>
              <w:t>257</w:t>
            </w:r>
          </w:p>
        </w:tc>
        <w:tc>
          <w:tcPr>
            <w:tcW w:w="0" w:type="auto"/>
            <w:tcBorders>
              <w:top w:val="nil"/>
              <w:left w:val="nil"/>
              <w:bottom w:val="nil"/>
              <w:right w:val="nil"/>
            </w:tcBorders>
            <w:shd w:val="clear" w:color="auto" w:fill="auto"/>
            <w:noWrap/>
            <w:vAlign w:val="bottom"/>
            <w:hideMark/>
          </w:tcPr>
          <w:p w14:paraId="4E267F11" w14:textId="77777777" w:rsidR="00155DEE" w:rsidRPr="00155DEE" w:rsidRDefault="00155DEE" w:rsidP="00155DEE">
            <w:pPr>
              <w:spacing w:after="0" w:line="240" w:lineRule="auto"/>
              <w:jc w:val="right"/>
              <w:rPr>
                <w:rFonts w:cs="Arial"/>
                <w:sz w:val="20"/>
              </w:rPr>
            </w:pPr>
            <w:r w:rsidRPr="00155DEE">
              <w:rPr>
                <w:rFonts w:cs="Arial"/>
                <w:sz w:val="20"/>
              </w:rPr>
              <w:t>299</w:t>
            </w:r>
          </w:p>
        </w:tc>
        <w:tc>
          <w:tcPr>
            <w:tcW w:w="0" w:type="auto"/>
            <w:tcBorders>
              <w:top w:val="nil"/>
              <w:left w:val="nil"/>
              <w:bottom w:val="nil"/>
              <w:right w:val="nil"/>
            </w:tcBorders>
            <w:shd w:val="clear" w:color="auto" w:fill="auto"/>
            <w:noWrap/>
            <w:vAlign w:val="bottom"/>
            <w:hideMark/>
          </w:tcPr>
          <w:p w14:paraId="35E5978D" w14:textId="08043FD0" w:rsidR="00155DEE" w:rsidRPr="00155DEE" w:rsidRDefault="00155DEE" w:rsidP="00155DEE">
            <w:pPr>
              <w:spacing w:after="0" w:line="240" w:lineRule="auto"/>
              <w:jc w:val="right"/>
              <w:rPr>
                <w:rFonts w:cs="Arial"/>
                <w:sz w:val="20"/>
              </w:rPr>
            </w:pPr>
            <w:r w:rsidRPr="00155DEE">
              <w:rPr>
                <w:rFonts w:cs="Arial"/>
                <w:sz w:val="20"/>
              </w:rPr>
              <w:t>278</w:t>
            </w:r>
          </w:p>
        </w:tc>
        <w:tc>
          <w:tcPr>
            <w:tcW w:w="0" w:type="auto"/>
            <w:tcBorders>
              <w:top w:val="nil"/>
              <w:left w:val="nil"/>
              <w:bottom w:val="nil"/>
              <w:right w:val="nil"/>
            </w:tcBorders>
            <w:shd w:val="clear" w:color="auto" w:fill="auto"/>
            <w:noWrap/>
            <w:vAlign w:val="bottom"/>
            <w:hideMark/>
          </w:tcPr>
          <w:p w14:paraId="43F3D709" w14:textId="77777777" w:rsidR="00155DEE" w:rsidRPr="00155DEE" w:rsidRDefault="00155DEE" w:rsidP="00155DEE">
            <w:pPr>
              <w:spacing w:after="0" w:line="240" w:lineRule="auto"/>
              <w:jc w:val="right"/>
              <w:rPr>
                <w:rFonts w:cs="Arial"/>
                <w:sz w:val="20"/>
              </w:rPr>
            </w:pPr>
            <w:r w:rsidRPr="00155DEE">
              <w:rPr>
                <w:rFonts w:cs="Arial"/>
                <w:sz w:val="20"/>
              </w:rPr>
              <w:t>280</w:t>
            </w:r>
          </w:p>
        </w:tc>
        <w:tc>
          <w:tcPr>
            <w:tcW w:w="0" w:type="auto"/>
            <w:tcBorders>
              <w:top w:val="nil"/>
              <w:left w:val="nil"/>
              <w:bottom w:val="nil"/>
              <w:right w:val="nil"/>
            </w:tcBorders>
            <w:shd w:val="clear" w:color="auto" w:fill="auto"/>
            <w:noWrap/>
            <w:vAlign w:val="bottom"/>
            <w:hideMark/>
          </w:tcPr>
          <w:p w14:paraId="7C8D53CD" w14:textId="77777777" w:rsidR="00155DEE" w:rsidRPr="00155DEE" w:rsidRDefault="00155DEE" w:rsidP="00155DEE">
            <w:pPr>
              <w:spacing w:after="0" w:line="240" w:lineRule="auto"/>
              <w:jc w:val="right"/>
              <w:rPr>
                <w:rFonts w:cs="Arial"/>
                <w:sz w:val="20"/>
              </w:rPr>
            </w:pPr>
            <w:r w:rsidRPr="00155DEE">
              <w:rPr>
                <w:rFonts w:cs="Arial"/>
                <w:sz w:val="20"/>
              </w:rPr>
              <w:t>265</w:t>
            </w:r>
          </w:p>
        </w:tc>
        <w:tc>
          <w:tcPr>
            <w:tcW w:w="0" w:type="auto"/>
            <w:tcBorders>
              <w:top w:val="nil"/>
              <w:left w:val="nil"/>
              <w:bottom w:val="nil"/>
              <w:right w:val="nil"/>
            </w:tcBorders>
            <w:shd w:val="clear" w:color="auto" w:fill="auto"/>
            <w:noWrap/>
            <w:vAlign w:val="bottom"/>
            <w:hideMark/>
          </w:tcPr>
          <w:p w14:paraId="54D4D004" w14:textId="77777777" w:rsidR="00155DEE" w:rsidRPr="00155DEE" w:rsidRDefault="00155DEE" w:rsidP="00155DEE">
            <w:pPr>
              <w:spacing w:after="0" w:line="240" w:lineRule="auto"/>
              <w:jc w:val="right"/>
              <w:rPr>
                <w:rFonts w:cs="Arial"/>
                <w:sz w:val="20"/>
              </w:rPr>
            </w:pPr>
            <w:r w:rsidRPr="00155DEE">
              <w:rPr>
                <w:rFonts w:cs="Arial"/>
                <w:sz w:val="20"/>
              </w:rPr>
              <w:t>250</w:t>
            </w:r>
          </w:p>
        </w:tc>
        <w:tc>
          <w:tcPr>
            <w:tcW w:w="0" w:type="auto"/>
            <w:tcBorders>
              <w:top w:val="nil"/>
              <w:left w:val="nil"/>
              <w:bottom w:val="nil"/>
              <w:right w:val="nil"/>
            </w:tcBorders>
            <w:shd w:val="clear" w:color="auto" w:fill="auto"/>
            <w:noWrap/>
            <w:vAlign w:val="bottom"/>
            <w:hideMark/>
          </w:tcPr>
          <w:p w14:paraId="033CFCB4" w14:textId="77777777" w:rsidR="00155DEE" w:rsidRPr="00155DEE" w:rsidRDefault="00155DEE" w:rsidP="00155DEE">
            <w:pPr>
              <w:spacing w:after="0" w:line="240" w:lineRule="auto"/>
              <w:jc w:val="right"/>
              <w:rPr>
                <w:rFonts w:cs="Arial"/>
                <w:sz w:val="20"/>
              </w:rPr>
            </w:pPr>
            <w:r w:rsidRPr="00155DEE">
              <w:rPr>
                <w:rFonts w:cs="Arial"/>
                <w:sz w:val="20"/>
              </w:rPr>
              <w:t>206</w:t>
            </w:r>
          </w:p>
        </w:tc>
        <w:tc>
          <w:tcPr>
            <w:tcW w:w="0" w:type="auto"/>
            <w:tcBorders>
              <w:top w:val="nil"/>
              <w:left w:val="nil"/>
              <w:bottom w:val="nil"/>
              <w:right w:val="nil"/>
            </w:tcBorders>
            <w:shd w:val="clear" w:color="auto" w:fill="auto"/>
            <w:noWrap/>
            <w:vAlign w:val="bottom"/>
            <w:hideMark/>
          </w:tcPr>
          <w:p w14:paraId="55B7314C" w14:textId="77777777" w:rsidR="00155DEE" w:rsidRPr="00155DEE" w:rsidRDefault="00155DEE" w:rsidP="00155DEE">
            <w:pPr>
              <w:spacing w:after="0" w:line="240" w:lineRule="auto"/>
              <w:jc w:val="right"/>
              <w:rPr>
                <w:rFonts w:cs="Arial"/>
                <w:sz w:val="20"/>
              </w:rPr>
            </w:pPr>
            <w:r w:rsidRPr="00155DEE">
              <w:rPr>
                <w:rFonts w:cs="Arial"/>
                <w:sz w:val="20"/>
              </w:rPr>
              <w:t>186</w:t>
            </w:r>
          </w:p>
        </w:tc>
        <w:tc>
          <w:tcPr>
            <w:tcW w:w="0" w:type="auto"/>
            <w:tcBorders>
              <w:top w:val="nil"/>
              <w:left w:val="nil"/>
              <w:bottom w:val="nil"/>
              <w:right w:val="nil"/>
            </w:tcBorders>
            <w:shd w:val="clear" w:color="auto" w:fill="auto"/>
            <w:noWrap/>
            <w:vAlign w:val="bottom"/>
            <w:hideMark/>
          </w:tcPr>
          <w:p w14:paraId="6FEB1B62" w14:textId="77777777" w:rsidR="00155DEE" w:rsidRPr="00155DEE" w:rsidRDefault="00155DEE" w:rsidP="00155DEE">
            <w:pPr>
              <w:spacing w:after="0" w:line="240" w:lineRule="auto"/>
              <w:jc w:val="right"/>
              <w:rPr>
                <w:rFonts w:cs="Arial"/>
                <w:sz w:val="20"/>
              </w:rPr>
            </w:pPr>
            <w:r w:rsidRPr="00155DEE">
              <w:rPr>
                <w:rFonts w:cs="Arial"/>
                <w:sz w:val="20"/>
              </w:rPr>
              <w:t>173</w:t>
            </w:r>
          </w:p>
        </w:tc>
        <w:tc>
          <w:tcPr>
            <w:tcW w:w="0" w:type="auto"/>
            <w:tcBorders>
              <w:top w:val="nil"/>
              <w:left w:val="nil"/>
              <w:bottom w:val="nil"/>
              <w:right w:val="nil"/>
            </w:tcBorders>
            <w:shd w:val="clear" w:color="auto" w:fill="auto"/>
            <w:noWrap/>
            <w:vAlign w:val="bottom"/>
            <w:hideMark/>
          </w:tcPr>
          <w:p w14:paraId="2986693A"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170</w:t>
            </w:r>
          </w:p>
        </w:tc>
        <w:tc>
          <w:tcPr>
            <w:tcW w:w="0" w:type="auto"/>
            <w:tcBorders>
              <w:top w:val="nil"/>
              <w:left w:val="nil"/>
              <w:bottom w:val="nil"/>
              <w:right w:val="nil"/>
            </w:tcBorders>
            <w:shd w:val="clear" w:color="auto" w:fill="auto"/>
            <w:noWrap/>
            <w:vAlign w:val="bottom"/>
            <w:hideMark/>
          </w:tcPr>
          <w:p w14:paraId="247F9BD5"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177</w:t>
            </w:r>
          </w:p>
        </w:tc>
      </w:tr>
      <w:tr w:rsidR="00155DEE" w:rsidRPr="00155DEE" w14:paraId="1853B3BB" w14:textId="77777777" w:rsidTr="00155DEE">
        <w:trPr>
          <w:trHeight w:val="255"/>
        </w:trPr>
        <w:tc>
          <w:tcPr>
            <w:tcW w:w="0" w:type="auto"/>
            <w:tcBorders>
              <w:top w:val="nil"/>
              <w:left w:val="nil"/>
              <w:bottom w:val="nil"/>
              <w:right w:val="nil"/>
            </w:tcBorders>
            <w:shd w:val="clear" w:color="auto" w:fill="auto"/>
            <w:vAlign w:val="bottom"/>
            <w:hideMark/>
          </w:tcPr>
          <w:p w14:paraId="1D14D51F" w14:textId="05764710" w:rsidR="00155DEE" w:rsidRPr="00155DEE" w:rsidRDefault="00155DEE" w:rsidP="00155DEE">
            <w:pPr>
              <w:spacing w:after="0" w:line="240" w:lineRule="auto"/>
              <w:rPr>
                <w:rFonts w:cs="Arial"/>
                <w:sz w:val="20"/>
              </w:rPr>
            </w:pPr>
            <w:r w:rsidRPr="00155DEE">
              <w:rPr>
                <w:rFonts w:cs="Arial"/>
                <w:sz w:val="20"/>
              </w:rPr>
              <w:t xml:space="preserve">Both VI and O&amp;M </w:t>
            </w:r>
          </w:p>
        </w:tc>
        <w:tc>
          <w:tcPr>
            <w:tcW w:w="0" w:type="auto"/>
            <w:tcBorders>
              <w:top w:val="nil"/>
              <w:left w:val="nil"/>
              <w:bottom w:val="nil"/>
              <w:right w:val="nil"/>
            </w:tcBorders>
            <w:shd w:val="clear" w:color="auto" w:fill="auto"/>
            <w:noWrap/>
            <w:vAlign w:val="bottom"/>
            <w:hideMark/>
          </w:tcPr>
          <w:p w14:paraId="4340BCCF" w14:textId="77777777" w:rsidR="00155DEE" w:rsidRPr="00155DEE" w:rsidRDefault="00155DEE" w:rsidP="00155DEE">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25983408" w14:textId="77777777" w:rsidR="00155DEE" w:rsidRPr="00155DEE" w:rsidRDefault="00155DEE" w:rsidP="00155DEE">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B10E0C9"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51</w:t>
            </w:r>
          </w:p>
        </w:tc>
        <w:tc>
          <w:tcPr>
            <w:tcW w:w="0" w:type="auto"/>
            <w:tcBorders>
              <w:top w:val="nil"/>
              <w:left w:val="nil"/>
              <w:bottom w:val="nil"/>
              <w:right w:val="nil"/>
            </w:tcBorders>
            <w:shd w:val="clear" w:color="auto" w:fill="auto"/>
            <w:noWrap/>
            <w:vAlign w:val="bottom"/>
            <w:hideMark/>
          </w:tcPr>
          <w:p w14:paraId="318C5C9B"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34</w:t>
            </w:r>
          </w:p>
        </w:tc>
        <w:tc>
          <w:tcPr>
            <w:tcW w:w="0" w:type="auto"/>
            <w:tcBorders>
              <w:top w:val="nil"/>
              <w:left w:val="nil"/>
              <w:bottom w:val="nil"/>
              <w:right w:val="nil"/>
            </w:tcBorders>
            <w:shd w:val="clear" w:color="auto" w:fill="auto"/>
            <w:noWrap/>
            <w:vAlign w:val="bottom"/>
            <w:hideMark/>
          </w:tcPr>
          <w:p w14:paraId="70C97B20" w14:textId="3818324D" w:rsidR="00155DEE" w:rsidRPr="00155DEE" w:rsidRDefault="00155DEE" w:rsidP="00155DEE">
            <w:pPr>
              <w:spacing w:after="0" w:line="240" w:lineRule="auto"/>
              <w:jc w:val="right"/>
              <w:rPr>
                <w:rFonts w:cs="Arial"/>
                <w:color w:val="000000"/>
                <w:sz w:val="20"/>
              </w:rPr>
            </w:pPr>
            <w:r w:rsidRPr="00C64973">
              <w:rPr>
                <w:noProof/>
                <w:sz w:val="20"/>
              </w:rPr>
              <w:drawing>
                <wp:anchor distT="0" distB="0" distL="114300" distR="114300" simplePos="0" relativeHeight="251752960" behindDoc="0" locked="0" layoutInCell="1" allowOverlap="1" wp14:anchorId="752D521C" wp14:editId="4DC89568">
                  <wp:simplePos x="0" y="0"/>
                  <wp:positionH relativeFrom="margin">
                    <wp:posOffset>-2767330</wp:posOffset>
                  </wp:positionH>
                  <wp:positionV relativeFrom="margin">
                    <wp:posOffset>-1774190</wp:posOffset>
                  </wp:positionV>
                  <wp:extent cx="6477000" cy="283527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7000" cy="2835275"/>
                          </a:xfrm>
                          <a:prstGeom prst="rect">
                            <a:avLst/>
                          </a:prstGeom>
                          <a:noFill/>
                        </pic:spPr>
                      </pic:pic>
                    </a:graphicData>
                  </a:graphic>
                  <wp14:sizeRelH relativeFrom="margin">
                    <wp14:pctWidth>0</wp14:pctWidth>
                  </wp14:sizeRelH>
                  <wp14:sizeRelV relativeFrom="margin">
                    <wp14:pctHeight>0</wp14:pctHeight>
                  </wp14:sizeRelV>
                </wp:anchor>
              </w:drawing>
            </w:r>
            <w:r w:rsidRPr="00155DEE">
              <w:rPr>
                <w:rFonts w:cs="Arial"/>
                <w:color w:val="000000"/>
                <w:sz w:val="20"/>
              </w:rPr>
              <w:t>39</w:t>
            </w:r>
          </w:p>
        </w:tc>
        <w:tc>
          <w:tcPr>
            <w:tcW w:w="0" w:type="auto"/>
            <w:tcBorders>
              <w:top w:val="nil"/>
              <w:left w:val="nil"/>
              <w:bottom w:val="nil"/>
              <w:right w:val="nil"/>
            </w:tcBorders>
            <w:shd w:val="clear" w:color="auto" w:fill="auto"/>
            <w:noWrap/>
            <w:vAlign w:val="bottom"/>
            <w:hideMark/>
          </w:tcPr>
          <w:p w14:paraId="7C856C23"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42</w:t>
            </w:r>
          </w:p>
        </w:tc>
        <w:tc>
          <w:tcPr>
            <w:tcW w:w="0" w:type="auto"/>
            <w:tcBorders>
              <w:top w:val="nil"/>
              <w:left w:val="nil"/>
              <w:bottom w:val="nil"/>
              <w:right w:val="nil"/>
            </w:tcBorders>
            <w:shd w:val="clear" w:color="auto" w:fill="auto"/>
            <w:noWrap/>
            <w:vAlign w:val="bottom"/>
            <w:hideMark/>
          </w:tcPr>
          <w:p w14:paraId="2592821D"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50</w:t>
            </w:r>
          </w:p>
        </w:tc>
        <w:tc>
          <w:tcPr>
            <w:tcW w:w="0" w:type="auto"/>
            <w:tcBorders>
              <w:top w:val="nil"/>
              <w:left w:val="nil"/>
              <w:bottom w:val="nil"/>
              <w:right w:val="nil"/>
            </w:tcBorders>
            <w:shd w:val="clear" w:color="auto" w:fill="auto"/>
            <w:noWrap/>
            <w:vAlign w:val="bottom"/>
            <w:hideMark/>
          </w:tcPr>
          <w:p w14:paraId="00964EB5"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49</w:t>
            </w:r>
          </w:p>
        </w:tc>
        <w:tc>
          <w:tcPr>
            <w:tcW w:w="0" w:type="auto"/>
            <w:tcBorders>
              <w:top w:val="nil"/>
              <w:left w:val="nil"/>
              <w:bottom w:val="nil"/>
              <w:right w:val="nil"/>
            </w:tcBorders>
            <w:shd w:val="clear" w:color="auto" w:fill="auto"/>
            <w:noWrap/>
            <w:vAlign w:val="bottom"/>
            <w:hideMark/>
          </w:tcPr>
          <w:p w14:paraId="215623C3"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56</w:t>
            </w:r>
          </w:p>
        </w:tc>
        <w:tc>
          <w:tcPr>
            <w:tcW w:w="0" w:type="auto"/>
            <w:tcBorders>
              <w:top w:val="nil"/>
              <w:left w:val="nil"/>
              <w:bottom w:val="nil"/>
              <w:right w:val="nil"/>
            </w:tcBorders>
            <w:shd w:val="clear" w:color="auto" w:fill="auto"/>
            <w:noWrap/>
            <w:vAlign w:val="bottom"/>
            <w:hideMark/>
          </w:tcPr>
          <w:p w14:paraId="00A6B78D"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54</w:t>
            </w:r>
          </w:p>
        </w:tc>
        <w:tc>
          <w:tcPr>
            <w:tcW w:w="0" w:type="auto"/>
            <w:tcBorders>
              <w:top w:val="nil"/>
              <w:left w:val="nil"/>
              <w:bottom w:val="nil"/>
              <w:right w:val="nil"/>
            </w:tcBorders>
            <w:shd w:val="clear" w:color="auto" w:fill="auto"/>
            <w:noWrap/>
            <w:vAlign w:val="bottom"/>
            <w:hideMark/>
          </w:tcPr>
          <w:p w14:paraId="16DC54AF"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71</w:t>
            </w:r>
          </w:p>
        </w:tc>
        <w:tc>
          <w:tcPr>
            <w:tcW w:w="0" w:type="auto"/>
            <w:tcBorders>
              <w:top w:val="nil"/>
              <w:left w:val="nil"/>
              <w:bottom w:val="nil"/>
              <w:right w:val="nil"/>
            </w:tcBorders>
            <w:shd w:val="clear" w:color="auto" w:fill="auto"/>
            <w:noWrap/>
            <w:vAlign w:val="bottom"/>
            <w:hideMark/>
          </w:tcPr>
          <w:p w14:paraId="1DA97F1A"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79</w:t>
            </w:r>
          </w:p>
        </w:tc>
        <w:tc>
          <w:tcPr>
            <w:tcW w:w="0" w:type="auto"/>
            <w:tcBorders>
              <w:top w:val="nil"/>
              <w:left w:val="nil"/>
              <w:bottom w:val="nil"/>
              <w:right w:val="nil"/>
            </w:tcBorders>
            <w:shd w:val="clear" w:color="auto" w:fill="auto"/>
            <w:noWrap/>
            <w:vAlign w:val="bottom"/>
            <w:hideMark/>
          </w:tcPr>
          <w:p w14:paraId="0A7DD4A7"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87</w:t>
            </w:r>
          </w:p>
        </w:tc>
      </w:tr>
      <w:tr w:rsidR="00155DEE" w:rsidRPr="00155DEE" w14:paraId="39513BF7" w14:textId="77777777" w:rsidTr="00155DEE">
        <w:trPr>
          <w:trHeight w:val="250"/>
        </w:trPr>
        <w:tc>
          <w:tcPr>
            <w:tcW w:w="0" w:type="auto"/>
            <w:tcBorders>
              <w:top w:val="nil"/>
              <w:left w:val="nil"/>
              <w:bottom w:val="nil"/>
              <w:right w:val="nil"/>
            </w:tcBorders>
            <w:shd w:val="clear" w:color="auto" w:fill="auto"/>
            <w:noWrap/>
            <w:vAlign w:val="bottom"/>
            <w:hideMark/>
          </w:tcPr>
          <w:p w14:paraId="5E22D517" w14:textId="774DA422" w:rsidR="00155DEE" w:rsidRPr="00155DEE" w:rsidRDefault="00155DEE" w:rsidP="00155DEE">
            <w:pPr>
              <w:spacing w:after="0" w:line="240" w:lineRule="auto"/>
              <w:rPr>
                <w:rFonts w:cs="Arial"/>
                <w:sz w:val="20"/>
              </w:rPr>
            </w:pPr>
            <w:r w:rsidRPr="00155DEE">
              <w:rPr>
                <w:rFonts w:cs="Arial"/>
                <w:sz w:val="20"/>
              </w:rPr>
              <w:t>Total</w:t>
            </w:r>
          </w:p>
        </w:tc>
        <w:tc>
          <w:tcPr>
            <w:tcW w:w="0" w:type="auto"/>
            <w:tcBorders>
              <w:top w:val="nil"/>
              <w:left w:val="nil"/>
              <w:bottom w:val="nil"/>
              <w:right w:val="nil"/>
            </w:tcBorders>
            <w:shd w:val="clear" w:color="auto" w:fill="auto"/>
            <w:noWrap/>
            <w:vAlign w:val="bottom"/>
            <w:hideMark/>
          </w:tcPr>
          <w:p w14:paraId="7955AA1F" w14:textId="77777777" w:rsidR="00155DEE" w:rsidRPr="00155DEE" w:rsidRDefault="00155DEE" w:rsidP="00155DEE">
            <w:pPr>
              <w:spacing w:after="0" w:line="240" w:lineRule="auto"/>
              <w:jc w:val="right"/>
              <w:rPr>
                <w:rFonts w:cs="Arial"/>
                <w:sz w:val="20"/>
              </w:rPr>
            </w:pPr>
            <w:r w:rsidRPr="00155DEE">
              <w:rPr>
                <w:rFonts w:cs="Arial"/>
                <w:sz w:val="20"/>
              </w:rPr>
              <w:t>437</w:t>
            </w:r>
          </w:p>
        </w:tc>
        <w:tc>
          <w:tcPr>
            <w:tcW w:w="0" w:type="auto"/>
            <w:tcBorders>
              <w:top w:val="nil"/>
              <w:left w:val="nil"/>
              <w:bottom w:val="nil"/>
              <w:right w:val="nil"/>
            </w:tcBorders>
            <w:shd w:val="clear" w:color="auto" w:fill="auto"/>
            <w:noWrap/>
            <w:vAlign w:val="bottom"/>
            <w:hideMark/>
          </w:tcPr>
          <w:p w14:paraId="666C4E23" w14:textId="77777777" w:rsidR="00155DEE" w:rsidRPr="00155DEE" w:rsidRDefault="00155DEE" w:rsidP="00155DEE">
            <w:pPr>
              <w:spacing w:after="0" w:line="240" w:lineRule="auto"/>
              <w:jc w:val="right"/>
              <w:rPr>
                <w:rFonts w:cs="Arial"/>
                <w:sz w:val="20"/>
              </w:rPr>
            </w:pPr>
            <w:r w:rsidRPr="00155DEE">
              <w:rPr>
                <w:rFonts w:cs="Arial"/>
                <w:sz w:val="20"/>
              </w:rPr>
              <w:t>375</w:t>
            </w:r>
          </w:p>
        </w:tc>
        <w:tc>
          <w:tcPr>
            <w:tcW w:w="0" w:type="auto"/>
            <w:tcBorders>
              <w:top w:val="nil"/>
              <w:left w:val="nil"/>
              <w:bottom w:val="nil"/>
              <w:right w:val="nil"/>
            </w:tcBorders>
            <w:shd w:val="clear" w:color="auto" w:fill="auto"/>
            <w:noWrap/>
            <w:vAlign w:val="bottom"/>
            <w:hideMark/>
          </w:tcPr>
          <w:p w14:paraId="63FE7DB0"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452</w:t>
            </w:r>
          </w:p>
        </w:tc>
        <w:tc>
          <w:tcPr>
            <w:tcW w:w="0" w:type="auto"/>
            <w:tcBorders>
              <w:top w:val="nil"/>
              <w:left w:val="nil"/>
              <w:bottom w:val="nil"/>
              <w:right w:val="nil"/>
            </w:tcBorders>
            <w:shd w:val="clear" w:color="auto" w:fill="auto"/>
            <w:noWrap/>
            <w:vAlign w:val="bottom"/>
            <w:hideMark/>
          </w:tcPr>
          <w:p w14:paraId="3528B523"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523</w:t>
            </w:r>
          </w:p>
        </w:tc>
        <w:tc>
          <w:tcPr>
            <w:tcW w:w="0" w:type="auto"/>
            <w:tcBorders>
              <w:top w:val="nil"/>
              <w:left w:val="nil"/>
              <w:bottom w:val="nil"/>
              <w:right w:val="nil"/>
            </w:tcBorders>
            <w:shd w:val="clear" w:color="auto" w:fill="auto"/>
            <w:noWrap/>
            <w:vAlign w:val="bottom"/>
            <w:hideMark/>
          </w:tcPr>
          <w:p w14:paraId="75B9BE47"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452</w:t>
            </w:r>
          </w:p>
        </w:tc>
        <w:tc>
          <w:tcPr>
            <w:tcW w:w="0" w:type="auto"/>
            <w:tcBorders>
              <w:top w:val="nil"/>
              <w:left w:val="nil"/>
              <w:bottom w:val="nil"/>
              <w:right w:val="nil"/>
            </w:tcBorders>
            <w:shd w:val="clear" w:color="auto" w:fill="auto"/>
            <w:noWrap/>
            <w:vAlign w:val="bottom"/>
            <w:hideMark/>
          </w:tcPr>
          <w:p w14:paraId="71C59D54" w14:textId="0AA216CE" w:rsidR="00155DEE" w:rsidRPr="00155DEE" w:rsidRDefault="00155DEE" w:rsidP="00155DEE">
            <w:pPr>
              <w:spacing w:after="0" w:line="240" w:lineRule="auto"/>
              <w:jc w:val="right"/>
              <w:rPr>
                <w:rFonts w:cs="Arial"/>
                <w:color w:val="000000"/>
                <w:sz w:val="20"/>
              </w:rPr>
            </w:pPr>
            <w:r w:rsidRPr="00155DEE">
              <w:rPr>
                <w:rFonts w:cs="Arial"/>
                <w:color w:val="000000"/>
                <w:sz w:val="20"/>
              </w:rPr>
              <w:t>495</w:t>
            </w:r>
          </w:p>
        </w:tc>
        <w:tc>
          <w:tcPr>
            <w:tcW w:w="0" w:type="auto"/>
            <w:tcBorders>
              <w:top w:val="nil"/>
              <w:left w:val="nil"/>
              <w:bottom w:val="nil"/>
              <w:right w:val="nil"/>
            </w:tcBorders>
            <w:shd w:val="clear" w:color="auto" w:fill="auto"/>
            <w:noWrap/>
            <w:vAlign w:val="bottom"/>
            <w:hideMark/>
          </w:tcPr>
          <w:p w14:paraId="4531A351"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474</w:t>
            </w:r>
          </w:p>
        </w:tc>
        <w:tc>
          <w:tcPr>
            <w:tcW w:w="0" w:type="auto"/>
            <w:tcBorders>
              <w:top w:val="nil"/>
              <w:left w:val="nil"/>
              <w:bottom w:val="nil"/>
              <w:right w:val="nil"/>
            </w:tcBorders>
            <w:shd w:val="clear" w:color="auto" w:fill="auto"/>
            <w:noWrap/>
            <w:vAlign w:val="bottom"/>
            <w:hideMark/>
          </w:tcPr>
          <w:p w14:paraId="1C532163"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466</w:t>
            </w:r>
          </w:p>
        </w:tc>
        <w:tc>
          <w:tcPr>
            <w:tcW w:w="0" w:type="auto"/>
            <w:tcBorders>
              <w:top w:val="nil"/>
              <w:left w:val="nil"/>
              <w:bottom w:val="nil"/>
              <w:right w:val="nil"/>
            </w:tcBorders>
            <w:shd w:val="clear" w:color="auto" w:fill="auto"/>
            <w:noWrap/>
            <w:vAlign w:val="bottom"/>
            <w:hideMark/>
          </w:tcPr>
          <w:p w14:paraId="3C3486F7"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437</w:t>
            </w:r>
          </w:p>
        </w:tc>
        <w:tc>
          <w:tcPr>
            <w:tcW w:w="0" w:type="auto"/>
            <w:tcBorders>
              <w:top w:val="nil"/>
              <w:left w:val="nil"/>
              <w:bottom w:val="nil"/>
              <w:right w:val="nil"/>
            </w:tcBorders>
            <w:shd w:val="clear" w:color="auto" w:fill="auto"/>
            <w:noWrap/>
            <w:vAlign w:val="bottom"/>
            <w:hideMark/>
          </w:tcPr>
          <w:p w14:paraId="462A8DD1"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385</w:t>
            </w:r>
          </w:p>
        </w:tc>
        <w:tc>
          <w:tcPr>
            <w:tcW w:w="0" w:type="auto"/>
            <w:tcBorders>
              <w:top w:val="nil"/>
              <w:left w:val="nil"/>
              <w:bottom w:val="nil"/>
              <w:right w:val="nil"/>
            </w:tcBorders>
            <w:shd w:val="clear" w:color="auto" w:fill="auto"/>
            <w:noWrap/>
            <w:vAlign w:val="bottom"/>
            <w:hideMark/>
          </w:tcPr>
          <w:p w14:paraId="698F6DD4"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375</w:t>
            </w:r>
          </w:p>
        </w:tc>
        <w:tc>
          <w:tcPr>
            <w:tcW w:w="0" w:type="auto"/>
            <w:tcBorders>
              <w:top w:val="nil"/>
              <w:left w:val="nil"/>
              <w:bottom w:val="nil"/>
              <w:right w:val="nil"/>
            </w:tcBorders>
            <w:shd w:val="clear" w:color="auto" w:fill="auto"/>
            <w:noWrap/>
            <w:vAlign w:val="bottom"/>
            <w:hideMark/>
          </w:tcPr>
          <w:p w14:paraId="3E75553A"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396</w:t>
            </w:r>
          </w:p>
        </w:tc>
        <w:tc>
          <w:tcPr>
            <w:tcW w:w="0" w:type="auto"/>
            <w:tcBorders>
              <w:top w:val="nil"/>
              <w:left w:val="nil"/>
              <w:bottom w:val="nil"/>
              <w:right w:val="nil"/>
            </w:tcBorders>
            <w:shd w:val="clear" w:color="auto" w:fill="auto"/>
            <w:noWrap/>
            <w:vAlign w:val="bottom"/>
            <w:hideMark/>
          </w:tcPr>
          <w:p w14:paraId="36536B89" w14:textId="77777777" w:rsidR="00155DEE" w:rsidRPr="00155DEE" w:rsidRDefault="00155DEE" w:rsidP="00155DEE">
            <w:pPr>
              <w:spacing w:after="0" w:line="240" w:lineRule="auto"/>
              <w:jc w:val="right"/>
              <w:rPr>
                <w:rFonts w:cs="Arial"/>
                <w:color w:val="000000"/>
                <w:sz w:val="20"/>
              </w:rPr>
            </w:pPr>
            <w:r w:rsidRPr="00155DEE">
              <w:rPr>
                <w:rFonts w:cs="Arial"/>
                <w:color w:val="000000"/>
                <w:sz w:val="20"/>
              </w:rPr>
              <w:t>412</w:t>
            </w:r>
          </w:p>
        </w:tc>
      </w:tr>
    </w:tbl>
    <w:p w14:paraId="0454ABA1" w14:textId="52AE8E76" w:rsidR="00337376" w:rsidRDefault="00337376" w:rsidP="005B2584"/>
    <w:p w14:paraId="653BC689" w14:textId="6BB287B5" w:rsidR="00337376" w:rsidRDefault="00337376" w:rsidP="005B2584"/>
    <w:p w14:paraId="67F7A455" w14:textId="2A170571" w:rsidR="00BB7546" w:rsidRPr="00C64973" w:rsidRDefault="00BB7546" w:rsidP="005B2584">
      <w:r w:rsidRPr="00C64973">
        <w:t>The provision of direct services from an ESC depends on many factors, including population size, region/district agreements, regional service delivery options, and fiscal constraints.  While many factors can affect the number of students served by ESCs, the local districts</w:t>
      </w:r>
      <w:r w:rsidR="0037468D" w:rsidRPr="00C64973">
        <w:t>’</w:t>
      </w:r>
      <w:r w:rsidRPr="00C64973">
        <w:t xml:space="preserve"> capacity to meet the needs of th</w:t>
      </w:r>
      <w:r w:rsidR="00105B9D" w:rsidRPr="00C64973">
        <w:t xml:space="preserve">eir students is a primary one. </w:t>
      </w:r>
      <w:r w:rsidR="00F82B1B" w:rsidRPr="00C64973">
        <w:t>The increase in local COMS staff likely explains the decrease in O&amp;M service</w:t>
      </w:r>
      <w:r w:rsidR="00A31C92" w:rsidRPr="00C64973">
        <w:t>s from ESCs over the majority of the past decade</w:t>
      </w:r>
      <w:r w:rsidR="00F82B1B" w:rsidRPr="00C64973">
        <w:t>.</w:t>
      </w:r>
    </w:p>
    <w:p w14:paraId="3F43D74D" w14:textId="2A0D56FF" w:rsidR="00385ED3" w:rsidRPr="00C64973" w:rsidRDefault="00385ED3" w:rsidP="00385ED3">
      <w:pPr>
        <w:pStyle w:val="Heading2"/>
      </w:pPr>
      <w:bookmarkStart w:id="48" w:name="_Toc61607299"/>
      <w:r w:rsidRPr="00C64973">
        <w:t>Overall perceptions of caseloads</w:t>
      </w:r>
      <w:bookmarkEnd w:id="48"/>
    </w:p>
    <w:p w14:paraId="299E3B07" w14:textId="33699604" w:rsidR="00615AE0" w:rsidRPr="00C64973" w:rsidRDefault="00105B9D" w:rsidP="00615AE0">
      <w:pPr>
        <w:rPr>
          <w:b/>
          <w:i/>
        </w:rPr>
      </w:pPr>
      <w:r w:rsidRPr="00C64973">
        <w:rPr>
          <w:b/>
          <w:i/>
        </w:rPr>
        <w:t xml:space="preserve">More </w:t>
      </w:r>
      <w:r w:rsidR="00615AE0" w:rsidRPr="00C64973">
        <w:rPr>
          <w:b/>
          <w:i/>
        </w:rPr>
        <w:t xml:space="preserve">than half </w:t>
      </w:r>
      <w:r w:rsidRPr="00C64973">
        <w:rPr>
          <w:b/>
          <w:i/>
        </w:rPr>
        <w:t xml:space="preserve">(65%) </w:t>
      </w:r>
      <w:r w:rsidR="00615AE0" w:rsidRPr="00C64973">
        <w:rPr>
          <w:b/>
          <w:i/>
        </w:rPr>
        <w:t>of the ESCs reported an increase in caseloads for both their TVIs and COMS.</w:t>
      </w:r>
    </w:p>
    <w:p w14:paraId="0A93EEAD" w14:textId="38565DE9" w:rsidR="005A4909" w:rsidRPr="00C64973" w:rsidRDefault="00385ED3" w:rsidP="00385ED3">
      <w:pPr>
        <w:spacing w:line="288" w:lineRule="auto"/>
      </w:pPr>
      <w:r w:rsidRPr="00C64973">
        <w:t xml:space="preserve">Since 2010, this survey also asked about </w:t>
      </w:r>
      <w:r w:rsidR="00114411">
        <w:t xml:space="preserve">ESC specialists’ </w:t>
      </w:r>
      <w:r w:rsidRPr="00C64973">
        <w:t xml:space="preserve">perceptions of overall </w:t>
      </w:r>
      <w:r w:rsidR="00114411">
        <w:t>regional changes in caseloads</w:t>
      </w:r>
      <w:r w:rsidRPr="00C64973">
        <w:t>. The survey did not ask about specific districts or how many districts in a region experienced a change. The VI consultants were asked to use their professional expertise in their estimates.</w:t>
      </w:r>
      <w:r w:rsidR="00026491" w:rsidRPr="00C64973">
        <w:t xml:space="preserve"> </w:t>
      </w:r>
    </w:p>
    <w:p w14:paraId="397CE87B" w14:textId="547D448E" w:rsidR="00385ED3" w:rsidRPr="00C64973" w:rsidRDefault="00385ED3" w:rsidP="00385ED3">
      <w:pPr>
        <w:spacing w:line="288" w:lineRule="auto"/>
        <w:rPr>
          <w:b/>
        </w:rPr>
      </w:pPr>
      <w:r w:rsidRPr="00C64973">
        <w:rPr>
          <w:b/>
        </w:rPr>
        <w:t xml:space="preserve">Table 6: </w:t>
      </w:r>
      <w:r w:rsidR="004D2CC2" w:rsidRPr="00C64973">
        <w:rPr>
          <w:b/>
        </w:rPr>
        <w:t xml:space="preserve">VI ESC Consultants’ Perception of </w:t>
      </w:r>
      <w:r w:rsidRPr="00C64973">
        <w:rPr>
          <w:b/>
        </w:rPr>
        <w:t>Regional Overall Changes in Caseloads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1080"/>
        <w:gridCol w:w="1530"/>
      </w:tblGrid>
      <w:tr w:rsidR="00076310" w:rsidRPr="00C64973" w14:paraId="262D519F" w14:textId="77777777" w:rsidTr="006F3AF6">
        <w:trPr>
          <w:cantSplit/>
          <w:tblHeader/>
        </w:trPr>
        <w:tc>
          <w:tcPr>
            <w:tcW w:w="2988" w:type="dxa"/>
            <w:tcBorders>
              <w:top w:val="nil"/>
              <w:left w:val="nil"/>
              <w:right w:val="nil"/>
            </w:tcBorders>
            <w:shd w:val="clear" w:color="auto" w:fill="auto"/>
          </w:tcPr>
          <w:p w14:paraId="07EF8DAE" w14:textId="1CBE815A" w:rsidR="00076310" w:rsidRPr="00C64973" w:rsidRDefault="00105B9D" w:rsidP="00555C4B">
            <w:pPr>
              <w:spacing w:after="0" w:line="288" w:lineRule="auto"/>
              <w:rPr>
                <w:b/>
              </w:rPr>
            </w:pPr>
            <w:r w:rsidRPr="00C64973">
              <w:rPr>
                <w:b/>
              </w:rPr>
              <w:t xml:space="preserve">       2020 Caseloads</w:t>
            </w:r>
          </w:p>
        </w:tc>
        <w:tc>
          <w:tcPr>
            <w:tcW w:w="1080" w:type="dxa"/>
            <w:tcBorders>
              <w:top w:val="nil"/>
              <w:left w:val="nil"/>
              <w:right w:val="nil"/>
            </w:tcBorders>
            <w:shd w:val="clear" w:color="auto" w:fill="auto"/>
            <w:vAlign w:val="bottom"/>
          </w:tcPr>
          <w:p w14:paraId="0FE1D684" w14:textId="2CE93F14" w:rsidR="00076310" w:rsidRPr="00C64973" w:rsidRDefault="00723F4D" w:rsidP="00076310">
            <w:pPr>
              <w:spacing w:after="0" w:line="288" w:lineRule="auto"/>
              <w:jc w:val="center"/>
              <w:rPr>
                <w:b/>
              </w:rPr>
            </w:pPr>
            <w:r w:rsidRPr="00C64973">
              <w:rPr>
                <w:b/>
              </w:rPr>
              <w:t>TVI</w:t>
            </w:r>
            <w:r w:rsidR="00076310" w:rsidRPr="00C64973">
              <w:rPr>
                <w:b/>
              </w:rPr>
              <w:t xml:space="preserve">s </w:t>
            </w:r>
          </w:p>
        </w:tc>
        <w:tc>
          <w:tcPr>
            <w:tcW w:w="1530" w:type="dxa"/>
            <w:tcBorders>
              <w:top w:val="nil"/>
              <w:left w:val="nil"/>
              <w:right w:val="nil"/>
            </w:tcBorders>
            <w:shd w:val="clear" w:color="auto" w:fill="auto"/>
            <w:vAlign w:val="bottom"/>
          </w:tcPr>
          <w:p w14:paraId="65EF3E13" w14:textId="2B123543" w:rsidR="00076310" w:rsidRPr="00C64973" w:rsidRDefault="00076310" w:rsidP="00076310">
            <w:pPr>
              <w:spacing w:after="0" w:line="288" w:lineRule="auto"/>
              <w:jc w:val="center"/>
              <w:rPr>
                <w:b/>
              </w:rPr>
            </w:pPr>
            <w:r w:rsidRPr="00C64973">
              <w:rPr>
                <w:b/>
              </w:rPr>
              <w:t xml:space="preserve">COMS </w:t>
            </w:r>
          </w:p>
        </w:tc>
      </w:tr>
      <w:tr w:rsidR="00076310" w:rsidRPr="00C64973" w14:paraId="1EA7C9D8" w14:textId="77777777" w:rsidTr="00555C4B">
        <w:tc>
          <w:tcPr>
            <w:tcW w:w="2988" w:type="dxa"/>
            <w:shd w:val="clear" w:color="auto" w:fill="auto"/>
          </w:tcPr>
          <w:p w14:paraId="33A0F7C3" w14:textId="395656BA" w:rsidR="00076310" w:rsidRPr="00C64973" w:rsidRDefault="00105B9D" w:rsidP="00555C4B">
            <w:pPr>
              <w:spacing w:after="0" w:line="288" w:lineRule="auto"/>
            </w:pPr>
            <w:r w:rsidRPr="00C64973">
              <w:t>Increases</w:t>
            </w:r>
            <w:r w:rsidR="00076310" w:rsidRPr="00C64973">
              <w:t xml:space="preserve"> </w:t>
            </w:r>
            <w:r w:rsidRPr="00C64973">
              <w:t xml:space="preserve">  </w:t>
            </w:r>
          </w:p>
        </w:tc>
        <w:tc>
          <w:tcPr>
            <w:tcW w:w="1080" w:type="dxa"/>
            <w:shd w:val="clear" w:color="auto" w:fill="auto"/>
          </w:tcPr>
          <w:p w14:paraId="5CF5CAA1" w14:textId="0BE71F15" w:rsidR="00076310" w:rsidRPr="00C64973" w:rsidRDefault="00105B9D" w:rsidP="00555C4B">
            <w:pPr>
              <w:spacing w:after="0" w:line="288" w:lineRule="auto"/>
              <w:jc w:val="center"/>
            </w:pPr>
            <w:r w:rsidRPr="00C64973">
              <w:t>13</w:t>
            </w:r>
          </w:p>
        </w:tc>
        <w:tc>
          <w:tcPr>
            <w:tcW w:w="1530" w:type="dxa"/>
            <w:shd w:val="clear" w:color="auto" w:fill="auto"/>
          </w:tcPr>
          <w:p w14:paraId="5C6B6252" w14:textId="07760BF4" w:rsidR="00076310" w:rsidRPr="00C64973" w:rsidRDefault="00105B9D" w:rsidP="00555C4B">
            <w:pPr>
              <w:spacing w:after="0" w:line="288" w:lineRule="auto"/>
              <w:jc w:val="center"/>
            </w:pPr>
            <w:r w:rsidRPr="00C64973">
              <w:t>13</w:t>
            </w:r>
          </w:p>
        </w:tc>
      </w:tr>
      <w:tr w:rsidR="00076310" w:rsidRPr="00C64973" w14:paraId="4B7358CE" w14:textId="77777777" w:rsidTr="00555C4B">
        <w:tc>
          <w:tcPr>
            <w:tcW w:w="2988" w:type="dxa"/>
            <w:shd w:val="clear" w:color="auto" w:fill="auto"/>
          </w:tcPr>
          <w:p w14:paraId="25F72615" w14:textId="77777777" w:rsidR="00076310" w:rsidRPr="00C64973" w:rsidRDefault="00076310" w:rsidP="00555C4B">
            <w:pPr>
              <w:spacing w:after="0" w:line="288" w:lineRule="auto"/>
            </w:pPr>
            <w:r w:rsidRPr="00C64973">
              <w:t xml:space="preserve">Decreases </w:t>
            </w:r>
          </w:p>
        </w:tc>
        <w:tc>
          <w:tcPr>
            <w:tcW w:w="1080" w:type="dxa"/>
            <w:shd w:val="clear" w:color="auto" w:fill="auto"/>
          </w:tcPr>
          <w:p w14:paraId="6CE3C8CB" w14:textId="6EE58C16" w:rsidR="00076310" w:rsidRPr="00C64973" w:rsidRDefault="00105B9D" w:rsidP="00555C4B">
            <w:pPr>
              <w:spacing w:after="0" w:line="288" w:lineRule="auto"/>
              <w:jc w:val="center"/>
            </w:pPr>
            <w:r w:rsidRPr="00C64973">
              <w:t>0</w:t>
            </w:r>
          </w:p>
        </w:tc>
        <w:tc>
          <w:tcPr>
            <w:tcW w:w="1530" w:type="dxa"/>
            <w:shd w:val="clear" w:color="auto" w:fill="auto"/>
          </w:tcPr>
          <w:p w14:paraId="799B0748" w14:textId="623DF80F" w:rsidR="00076310" w:rsidRPr="00C64973" w:rsidRDefault="007C065B" w:rsidP="00555C4B">
            <w:pPr>
              <w:spacing w:after="0" w:line="288" w:lineRule="auto"/>
              <w:jc w:val="center"/>
            </w:pPr>
            <w:r w:rsidRPr="00C64973">
              <w:t>1</w:t>
            </w:r>
          </w:p>
        </w:tc>
      </w:tr>
      <w:tr w:rsidR="00076310" w:rsidRPr="00C64973" w14:paraId="535A683E" w14:textId="77777777" w:rsidTr="00555C4B">
        <w:tc>
          <w:tcPr>
            <w:tcW w:w="2988" w:type="dxa"/>
            <w:shd w:val="clear" w:color="auto" w:fill="auto"/>
          </w:tcPr>
          <w:p w14:paraId="2322B639" w14:textId="1FF0AEB3" w:rsidR="00076310" w:rsidRPr="00C64973" w:rsidRDefault="00076310" w:rsidP="00555C4B">
            <w:pPr>
              <w:spacing w:after="0" w:line="288" w:lineRule="auto"/>
            </w:pPr>
            <w:r w:rsidRPr="00C64973">
              <w:t>No significant change</w:t>
            </w:r>
          </w:p>
        </w:tc>
        <w:tc>
          <w:tcPr>
            <w:tcW w:w="1080" w:type="dxa"/>
            <w:shd w:val="clear" w:color="auto" w:fill="auto"/>
          </w:tcPr>
          <w:p w14:paraId="1AEE999E" w14:textId="3F2A9D5A" w:rsidR="00076310" w:rsidRPr="00C64973" w:rsidRDefault="007C065B" w:rsidP="00555C4B">
            <w:pPr>
              <w:spacing w:after="0" w:line="288" w:lineRule="auto"/>
              <w:jc w:val="center"/>
            </w:pPr>
            <w:r w:rsidRPr="00C64973">
              <w:t>6</w:t>
            </w:r>
          </w:p>
        </w:tc>
        <w:tc>
          <w:tcPr>
            <w:tcW w:w="1530" w:type="dxa"/>
            <w:shd w:val="clear" w:color="auto" w:fill="auto"/>
          </w:tcPr>
          <w:p w14:paraId="4E8805FC" w14:textId="0A322BFC" w:rsidR="00076310" w:rsidRPr="00C64973" w:rsidRDefault="00105B9D" w:rsidP="00555C4B">
            <w:pPr>
              <w:spacing w:after="0" w:line="288" w:lineRule="auto"/>
              <w:jc w:val="center"/>
            </w:pPr>
            <w:r w:rsidRPr="00C64973">
              <w:t>5</w:t>
            </w:r>
          </w:p>
        </w:tc>
      </w:tr>
      <w:tr w:rsidR="00076310" w:rsidRPr="00C64973" w14:paraId="6AAD6C54" w14:textId="77777777" w:rsidTr="00555C4B">
        <w:tc>
          <w:tcPr>
            <w:tcW w:w="2988" w:type="dxa"/>
            <w:shd w:val="clear" w:color="auto" w:fill="auto"/>
          </w:tcPr>
          <w:p w14:paraId="4E5DE83E" w14:textId="3FC7C1B9" w:rsidR="00076310" w:rsidRPr="00C64973" w:rsidRDefault="00076310" w:rsidP="00555C4B">
            <w:pPr>
              <w:spacing w:after="0" w:line="288" w:lineRule="auto"/>
            </w:pPr>
            <w:r w:rsidRPr="00C64973">
              <w:t>Unknown</w:t>
            </w:r>
          </w:p>
        </w:tc>
        <w:tc>
          <w:tcPr>
            <w:tcW w:w="1080" w:type="dxa"/>
            <w:shd w:val="clear" w:color="auto" w:fill="auto"/>
          </w:tcPr>
          <w:p w14:paraId="2E560AE9" w14:textId="3F89035F" w:rsidR="00076310" w:rsidRPr="00C64973" w:rsidRDefault="00105B9D" w:rsidP="00555C4B">
            <w:pPr>
              <w:spacing w:after="0" w:line="288" w:lineRule="auto"/>
              <w:jc w:val="center"/>
            </w:pPr>
            <w:r w:rsidRPr="00C64973">
              <w:t>1</w:t>
            </w:r>
          </w:p>
        </w:tc>
        <w:tc>
          <w:tcPr>
            <w:tcW w:w="1530" w:type="dxa"/>
            <w:shd w:val="clear" w:color="auto" w:fill="auto"/>
          </w:tcPr>
          <w:p w14:paraId="35ED4644" w14:textId="1AFF4539" w:rsidR="00076310" w:rsidRPr="00C64973" w:rsidRDefault="00105B9D" w:rsidP="00555C4B">
            <w:pPr>
              <w:spacing w:after="0" w:line="288" w:lineRule="auto"/>
              <w:jc w:val="center"/>
            </w:pPr>
            <w:r w:rsidRPr="00C64973">
              <w:t>1</w:t>
            </w:r>
          </w:p>
        </w:tc>
      </w:tr>
    </w:tbl>
    <w:p w14:paraId="1A21B340" w14:textId="76BBC5CA" w:rsidR="00385ED3" w:rsidRPr="00C64973" w:rsidRDefault="00385ED3" w:rsidP="00385ED3">
      <w:pPr>
        <w:widowControl w:val="0"/>
        <w:autoSpaceDE w:val="0"/>
        <w:autoSpaceDN w:val="0"/>
        <w:adjustRightInd w:val="0"/>
        <w:spacing w:before="120" w:after="0" w:line="240" w:lineRule="auto"/>
        <w:ind w:left="720"/>
      </w:pPr>
    </w:p>
    <w:p w14:paraId="19E664D6" w14:textId="50B2C4F8" w:rsidR="00385ED3" w:rsidRPr="00C64973" w:rsidRDefault="00615AE0" w:rsidP="00385ED3">
      <w:pPr>
        <w:spacing w:line="288" w:lineRule="auto"/>
      </w:pPr>
      <w:r w:rsidRPr="00C64973">
        <w:t>This year</w:t>
      </w:r>
      <w:r w:rsidR="00385ED3" w:rsidRPr="00C64973">
        <w:t>,</w:t>
      </w:r>
      <w:r w:rsidR="00105B9D" w:rsidRPr="00C64973">
        <w:t xml:space="preserve"> 13</w:t>
      </w:r>
      <w:r w:rsidR="00385ED3" w:rsidRPr="00C64973">
        <w:t xml:space="preserve"> of 20 education service centers (ESCs) reported increas</w:t>
      </w:r>
      <w:r w:rsidR="007F4AE1" w:rsidRPr="00C64973">
        <w:t xml:space="preserve">ed caseloads for </w:t>
      </w:r>
      <w:r w:rsidR="00723F4D" w:rsidRPr="00C64973">
        <w:t>TVI</w:t>
      </w:r>
      <w:r w:rsidR="00385ED3" w:rsidRPr="00C64973">
        <w:t>s and COMS</w:t>
      </w:r>
      <w:r w:rsidR="00991FCB" w:rsidRPr="00C64973">
        <w:t xml:space="preserve">. </w:t>
      </w:r>
      <w:r w:rsidR="00385ED3" w:rsidRPr="00C64973">
        <w:t xml:space="preserve">Others noted caseloads </w:t>
      </w:r>
      <w:r w:rsidR="00456BBE" w:rsidRPr="00C64973">
        <w:t>remained the same</w:t>
      </w:r>
      <w:r w:rsidR="00E47BD3" w:rsidRPr="00C64973">
        <w:t xml:space="preserve"> with only o</w:t>
      </w:r>
      <w:r w:rsidR="00105B9D" w:rsidRPr="00C64973">
        <w:t>ne</w:t>
      </w:r>
      <w:r w:rsidR="009B583E" w:rsidRPr="00C64973">
        <w:t xml:space="preserve"> ESC</w:t>
      </w:r>
      <w:r w:rsidR="00E47BD3" w:rsidRPr="00C64973">
        <w:t xml:space="preserve"> reporting</w:t>
      </w:r>
      <w:r w:rsidR="00385ED3" w:rsidRPr="00C64973">
        <w:t xml:space="preserve"> </w:t>
      </w:r>
      <w:r w:rsidR="009B583E" w:rsidRPr="00C64973">
        <w:t xml:space="preserve">that </w:t>
      </w:r>
      <w:r w:rsidR="00385ED3" w:rsidRPr="00C64973">
        <w:t>O&amp;M caselo</w:t>
      </w:r>
      <w:r w:rsidR="009B583E" w:rsidRPr="00C64973">
        <w:t xml:space="preserve">ads </w:t>
      </w:r>
      <w:r w:rsidR="00105B9D" w:rsidRPr="00C64973">
        <w:t xml:space="preserve">have </w:t>
      </w:r>
      <w:r w:rsidR="009B583E" w:rsidRPr="00C64973">
        <w:t>experienced a decrease in their region</w:t>
      </w:r>
      <w:r w:rsidR="00026491" w:rsidRPr="00C64973">
        <w:t>.</w:t>
      </w:r>
      <w:r w:rsidR="009B431D" w:rsidRPr="00C64973">
        <w:t xml:space="preserve"> </w:t>
      </w:r>
      <w:r w:rsidR="00E47BD3" w:rsidRPr="00C64973">
        <w:t>The</w:t>
      </w:r>
      <w:r w:rsidR="009B431D" w:rsidRPr="00C64973">
        <w:t xml:space="preserve"> </w:t>
      </w:r>
      <w:r w:rsidR="00105B9D" w:rsidRPr="00C64973">
        <w:t>overall increase in caseloads</w:t>
      </w:r>
      <w:r w:rsidR="00E47BD3" w:rsidRPr="00C64973">
        <w:t xml:space="preserve"> correlates with the growth in the student population, decrease in the number of TVIs and only slight jump in the number of COMS available to serve them.</w:t>
      </w:r>
    </w:p>
    <w:p w14:paraId="328C63E0" w14:textId="5076A7EA" w:rsidR="009D0231" w:rsidRPr="00C64973" w:rsidRDefault="006F5B79" w:rsidP="00E37B35">
      <w:pPr>
        <w:pStyle w:val="Heading2"/>
      </w:pPr>
      <w:bookmarkStart w:id="49" w:name="_Toc284342463"/>
      <w:bookmarkStart w:id="50" w:name="_Toc347126885"/>
      <w:bookmarkStart w:id="51" w:name="_Toc347127154"/>
      <w:bookmarkStart w:id="52" w:name="_Toc408835451"/>
      <w:bookmarkStart w:id="53" w:name="_Toc61607300"/>
      <w:r w:rsidRPr="00C64973">
        <w:t>Cultural</w:t>
      </w:r>
      <w:r w:rsidR="00F00401" w:rsidRPr="00C64973">
        <w:t xml:space="preserve"> </w:t>
      </w:r>
      <w:r w:rsidR="009D0231" w:rsidRPr="00C64973">
        <w:t>diversity</w:t>
      </w:r>
      <w:bookmarkEnd w:id="49"/>
      <w:bookmarkEnd w:id="50"/>
      <w:bookmarkEnd w:id="51"/>
      <w:bookmarkEnd w:id="52"/>
      <w:bookmarkEnd w:id="53"/>
      <w:r w:rsidR="00FB6632" w:rsidRPr="00C64973">
        <w:t xml:space="preserve"> </w:t>
      </w:r>
    </w:p>
    <w:p w14:paraId="3ABB3FA8" w14:textId="2AD5DBC2" w:rsidR="00615AE0" w:rsidRPr="00C64973" w:rsidRDefault="00615AE0" w:rsidP="00615AE0">
      <w:pPr>
        <w:rPr>
          <w:b/>
          <w:i/>
        </w:rPr>
      </w:pPr>
      <w:r w:rsidRPr="00C64973">
        <w:rPr>
          <w:b/>
          <w:i/>
        </w:rPr>
        <w:t>Texas saw an increase in the total number of VI professionals</w:t>
      </w:r>
      <w:r w:rsidR="00D57375" w:rsidRPr="00C64973">
        <w:rPr>
          <w:b/>
          <w:i/>
        </w:rPr>
        <w:t xml:space="preserve"> who are African-American and a decrease in the number of VI professionals who are Hispanic</w:t>
      </w:r>
      <w:r w:rsidR="000C1951" w:rsidRPr="00C64973">
        <w:rPr>
          <w:b/>
          <w:i/>
        </w:rPr>
        <w:t xml:space="preserve"> and Asian-American</w:t>
      </w:r>
      <w:r w:rsidRPr="00C64973">
        <w:rPr>
          <w:b/>
          <w:i/>
        </w:rPr>
        <w:t>.</w:t>
      </w:r>
    </w:p>
    <w:p w14:paraId="59F94A13" w14:textId="4E3DDDB4" w:rsidR="00402AFD" w:rsidRDefault="009D0231" w:rsidP="00384D94">
      <w:pPr>
        <w:spacing w:line="288" w:lineRule="auto"/>
      </w:pPr>
      <w:r w:rsidRPr="00C64973">
        <w:t xml:space="preserve">Texas is a diverse state and </w:t>
      </w:r>
      <w:r w:rsidR="007B677E" w:rsidRPr="00C64973">
        <w:t xml:space="preserve">requires </w:t>
      </w:r>
      <w:r w:rsidRPr="00C64973">
        <w:t>a diverse workforce</w:t>
      </w:r>
      <w:r w:rsidR="00E83D99" w:rsidRPr="00C64973">
        <w:t xml:space="preserve"> to serve its citizens</w:t>
      </w:r>
      <w:r w:rsidRPr="00C64973">
        <w:t>.</w:t>
      </w:r>
      <w:r w:rsidR="00573C61" w:rsidRPr="00C64973">
        <w:t xml:space="preserve"> </w:t>
      </w:r>
      <w:r w:rsidRPr="00C64973">
        <w:t>This survey asks about African-American, Hispanic, and Asian</w:t>
      </w:r>
      <w:r w:rsidR="007E7A09" w:rsidRPr="00C64973">
        <w:t>-American</w:t>
      </w:r>
      <w:r w:rsidRPr="00C64973">
        <w:t xml:space="preserve"> VI professionals</w:t>
      </w:r>
      <w:r w:rsidR="00E83D99" w:rsidRPr="00C64973">
        <w:t xml:space="preserve"> in relation to services provided</w:t>
      </w:r>
      <w:r w:rsidRPr="00C64973">
        <w:t>.</w:t>
      </w:r>
      <w:r w:rsidR="00573C61" w:rsidRPr="00C64973">
        <w:t xml:space="preserve"> </w:t>
      </w:r>
      <w:r w:rsidRPr="00C64973">
        <w:t xml:space="preserve">It also queries the number of </w:t>
      </w:r>
      <w:r w:rsidR="00487110" w:rsidRPr="00C64973">
        <w:t xml:space="preserve">VI professionals fluent in </w:t>
      </w:r>
      <w:r w:rsidRPr="00C64973">
        <w:t>Sp</w:t>
      </w:r>
      <w:r w:rsidR="00487110" w:rsidRPr="00C64973">
        <w:t xml:space="preserve">anish. </w:t>
      </w:r>
      <w:r w:rsidRPr="00C64973">
        <w:t xml:space="preserve">The results </w:t>
      </w:r>
      <w:r w:rsidR="007B677E" w:rsidRPr="00C64973">
        <w:t xml:space="preserve">from </w:t>
      </w:r>
      <w:r w:rsidR="009D640D" w:rsidRPr="00C64973">
        <w:t xml:space="preserve">the </w:t>
      </w:r>
      <w:r w:rsidR="007B677E" w:rsidRPr="00C64973">
        <w:t>survey follow</w:t>
      </w:r>
      <w:r w:rsidRPr="00C64973">
        <w:t>.</w:t>
      </w:r>
      <w:r w:rsidR="00485435" w:rsidRPr="00C64973">
        <w:t xml:space="preserve"> </w:t>
      </w:r>
    </w:p>
    <w:p w14:paraId="1F48366A" w14:textId="445EE04C" w:rsidR="006950E1" w:rsidRDefault="006950E1" w:rsidP="00384D94">
      <w:pPr>
        <w:spacing w:line="288" w:lineRule="auto"/>
      </w:pPr>
    </w:p>
    <w:p w14:paraId="06CFAC4A" w14:textId="77777777" w:rsidR="006950E1" w:rsidRPr="00C64973" w:rsidRDefault="006950E1" w:rsidP="00384D94">
      <w:pPr>
        <w:spacing w:line="288" w:lineRule="auto"/>
      </w:pPr>
    </w:p>
    <w:p w14:paraId="0CEBDA48" w14:textId="7B15A451" w:rsidR="008634AD" w:rsidRPr="00C64973" w:rsidRDefault="008634AD" w:rsidP="00384D94">
      <w:pPr>
        <w:spacing w:line="288" w:lineRule="auto"/>
        <w:rPr>
          <w:b/>
        </w:rPr>
      </w:pPr>
      <w:r w:rsidRPr="00C64973">
        <w:rPr>
          <w:b/>
        </w:rPr>
        <w:t xml:space="preserve">Table </w:t>
      </w:r>
      <w:r w:rsidR="00CF0C98" w:rsidRPr="00C64973">
        <w:rPr>
          <w:b/>
        </w:rPr>
        <w:t>7</w:t>
      </w:r>
      <w:r w:rsidRPr="00C64973">
        <w:rPr>
          <w:b/>
        </w:rPr>
        <w:t>: Culturally Diverse VI Professionals</w:t>
      </w:r>
    </w:p>
    <w:p w14:paraId="0A92DE85" w14:textId="77777777" w:rsidR="00AD5E8A" w:rsidRPr="00C64973" w:rsidRDefault="00AD5E8A" w:rsidP="00384D94">
      <w:pPr>
        <w:spacing w:line="288" w:lineRule="auto"/>
        <w:rPr>
          <w:b/>
        </w:rPr>
        <w:sectPr w:rsidR="00AD5E8A" w:rsidRPr="00C64973" w:rsidSect="003718DD">
          <w:footerReference w:type="default" r:id="rId18"/>
          <w:endnotePr>
            <w:numFmt w:val="decimal"/>
          </w:endnotePr>
          <w:type w:val="continuous"/>
          <w:pgSz w:w="12240" w:h="15840"/>
          <w:pgMar w:top="1152" w:right="1080" w:bottom="1152" w:left="1080" w:header="144" w:footer="234" w:gutter="0"/>
          <w:pgNumType w:start="1"/>
          <w:cols w:space="720"/>
          <w:docGrid w:linePitch="326"/>
        </w:sectPr>
      </w:pPr>
    </w:p>
    <w:p w14:paraId="084DA7BF" w14:textId="4325574C" w:rsidR="003309AC" w:rsidRPr="00C64973" w:rsidRDefault="003309AC" w:rsidP="00384D94">
      <w:pPr>
        <w:spacing w:line="288" w:lineRule="auto"/>
        <w:rPr>
          <w:b/>
        </w:rPr>
      </w:pPr>
      <w:r w:rsidRPr="00C64973">
        <w:rPr>
          <w:b/>
        </w:rPr>
        <w:t>Hispanic VI 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900"/>
        <w:gridCol w:w="990"/>
        <w:gridCol w:w="900"/>
      </w:tblGrid>
      <w:tr w:rsidR="003A24D7" w:rsidRPr="00C64973" w14:paraId="2D44E53A" w14:textId="77777777" w:rsidTr="003309AC">
        <w:trPr>
          <w:cantSplit/>
          <w:tblHeader/>
        </w:trPr>
        <w:tc>
          <w:tcPr>
            <w:tcW w:w="2070" w:type="dxa"/>
            <w:tcBorders>
              <w:top w:val="nil"/>
              <w:left w:val="nil"/>
              <w:bottom w:val="single" w:sz="4" w:space="0" w:color="000000"/>
              <w:right w:val="nil"/>
            </w:tcBorders>
          </w:tcPr>
          <w:p w14:paraId="3C2139D5" w14:textId="77777777" w:rsidR="003A24D7" w:rsidRPr="00C64973" w:rsidRDefault="003A24D7" w:rsidP="00FC27BE">
            <w:pPr>
              <w:spacing w:after="0"/>
              <w:rPr>
                <w:rFonts w:ascii="Cambria" w:hAnsi="Cambria"/>
              </w:rPr>
            </w:pPr>
          </w:p>
        </w:tc>
        <w:tc>
          <w:tcPr>
            <w:tcW w:w="900" w:type="dxa"/>
            <w:tcBorders>
              <w:top w:val="nil"/>
              <w:left w:val="nil"/>
              <w:bottom w:val="single" w:sz="4" w:space="0" w:color="000000"/>
              <w:right w:val="nil"/>
            </w:tcBorders>
            <w:vAlign w:val="bottom"/>
          </w:tcPr>
          <w:p w14:paraId="61B46D07" w14:textId="46DDC898" w:rsidR="003A24D7" w:rsidRPr="00C64973" w:rsidRDefault="00D57375" w:rsidP="00FC27BE">
            <w:pPr>
              <w:spacing w:after="0"/>
              <w:rPr>
                <w:b/>
                <w:szCs w:val="26"/>
              </w:rPr>
            </w:pPr>
            <w:r w:rsidRPr="00C64973">
              <w:rPr>
                <w:b/>
                <w:szCs w:val="26"/>
              </w:rPr>
              <w:t>2018</w:t>
            </w:r>
          </w:p>
        </w:tc>
        <w:tc>
          <w:tcPr>
            <w:tcW w:w="990" w:type="dxa"/>
            <w:tcBorders>
              <w:top w:val="nil"/>
              <w:left w:val="nil"/>
              <w:bottom w:val="single" w:sz="4" w:space="0" w:color="000000"/>
              <w:right w:val="nil"/>
            </w:tcBorders>
            <w:vAlign w:val="bottom"/>
          </w:tcPr>
          <w:p w14:paraId="61C79EC6" w14:textId="1622AA40" w:rsidR="003A24D7" w:rsidRPr="00C64973" w:rsidRDefault="00D57375" w:rsidP="00FC27BE">
            <w:pPr>
              <w:spacing w:after="0"/>
              <w:rPr>
                <w:b/>
                <w:szCs w:val="26"/>
              </w:rPr>
            </w:pPr>
            <w:r w:rsidRPr="00C64973">
              <w:rPr>
                <w:b/>
                <w:szCs w:val="26"/>
              </w:rPr>
              <w:t>2019</w:t>
            </w:r>
          </w:p>
        </w:tc>
        <w:tc>
          <w:tcPr>
            <w:tcW w:w="900" w:type="dxa"/>
            <w:tcBorders>
              <w:top w:val="nil"/>
              <w:left w:val="nil"/>
              <w:bottom w:val="single" w:sz="4" w:space="0" w:color="auto"/>
              <w:right w:val="nil"/>
            </w:tcBorders>
            <w:vAlign w:val="bottom"/>
          </w:tcPr>
          <w:p w14:paraId="42230E16" w14:textId="31436325" w:rsidR="003A24D7" w:rsidRPr="00C64973" w:rsidRDefault="00D57375" w:rsidP="00FC27BE">
            <w:pPr>
              <w:spacing w:after="0"/>
              <w:rPr>
                <w:b/>
                <w:szCs w:val="26"/>
              </w:rPr>
            </w:pPr>
            <w:r w:rsidRPr="00C64973">
              <w:rPr>
                <w:b/>
                <w:szCs w:val="26"/>
              </w:rPr>
              <w:t>2020</w:t>
            </w:r>
          </w:p>
        </w:tc>
      </w:tr>
      <w:tr w:rsidR="003A24D7" w:rsidRPr="00C64973" w14:paraId="4E19DB65" w14:textId="77777777" w:rsidTr="00804F8E">
        <w:tc>
          <w:tcPr>
            <w:tcW w:w="2070" w:type="dxa"/>
            <w:tcBorders>
              <w:top w:val="single" w:sz="4" w:space="0" w:color="000000"/>
            </w:tcBorders>
            <w:shd w:val="clear" w:color="auto" w:fill="auto"/>
            <w:vAlign w:val="bottom"/>
          </w:tcPr>
          <w:p w14:paraId="471AAE59" w14:textId="6FB3809C" w:rsidR="003A24D7" w:rsidRPr="00C64973" w:rsidRDefault="00723F4D" w:rsidP="00FC27BE">
            <w:pPr>
              <w:spacing w:after="0"/>
              <w:rPr>
                <w:b/>
              </w:rPr>
            </w:pPr>
            <w:r w:rsidRPr="00C64973">
              <w:rPr>
                <w:b/>
              </w:rPr>
              <w:t>TVI</w:t>
            </w:r>
            <w:r w:rsidR="003A24D7" w:rsidRPr="00C64973">
              <w:rPr>
                <w:b/>
              </w:rPr>
              <w:t>s</w:t>
            </w:r>
          </w:p>
        </w:tc>
        <w:tc>
          <w:tcPr>
            <w:tcW w:w="900" w:type="dxa"/>
            <w:tcBorders>
              <w:top w:val="single" w:sz="4" w:space="0" w:color="auto"/>
            </w:tcBorders>
            <w:shd w:val="clear" w:color="auto" w:fill="auto"/>
            <w:vAlign w:val="center"/>
          </w:tcPr>
          <w:p w14:paraId="659F62B9" w14:textId="37B9A034" w:rsidR="003A24D7" w:rsidRPr="00C64973" w:rsidRDefault="00E14B63" w:rsidP="00FC27BE">
            <w:pPr>
              <w:spacing w:after="0"/>
              <w:rPr>
                <w:rFonts w:cs="Arial"/>
              </w:rPr>
            </w:pPr>
            <w:r w:rsidRPr="00C64973">
              <w:rPr>
                <w:rFonts w:cs="Arial"/>
              </w:rPr>
              <w:t xml:space="preserve"> </w:t>
            </w:r>
            <w:r w:rsidR="00D57375" w:rsidRPr="00C64973">
              <w:rPr>
                <w:rFonts w:cs="Arial"/>
              </w:rPr>
              <w:t>82</w:t>
            </w:r>
          </w:p>
        </w:tc>
        <w:tc>
          <w:tcPr>
            <w:tcW w:w="990" w:type="dxa"/>
            <w:tcBorders>
              <w:top w:val="single" w:sz="4" w:space="0" w:color="auto"/>
            </w:tcBorders>
            <w:shd w:val="clear" w:color="auto" w:fill="auto"/>
            <w:vAlign w:val="center"/>
          </w:tcPr>
          <w:p w14:paraId="2E9B3D9B" w14:textId="105B628E" w:rsidR="003A24D7" w:rsidRPr="00C64973" w:rsidRDefault="00E14B63" w:rsidP="00FC27BE">
            <w:pPr>
              <w:spacing w:after="0"/>
              <w:rPr>
                <w:rFonts w:cs="Arial"/>
              </w:rPr>
            </w:pPr>
            <w:r w:rsidRPr="00C64973">
              <w:rPr>
                <w:rFonts w:cs="Arial"/>
              </w:rPr>
              <w:t xml:space="preserve">  </w:t>
            </w:r>
            <w:r w:rsidR="00D57375" w:rsidRPr="00C64973">
              <w:rPr>
                <w:rFonts w:cs="Arial"/>
              </w:rPr>
              <w:t>87</w:t>
            </w:r>
          </w:p>
        </w:tc>
        <w:tc>
          <w:tcPr>
            <w:tcW w:w="900" w:type="dxa"/>
            <w:tcBorders>
              <w:top w:val="single" w:sz="4" w:space="0" w:color="auto"/>
            </w:tcBorders>
            <w:shd w:val="clear" w:color="auto" w:fill="auto"/>
            <w:vAlign w:val="center"/>
          </w:tcPr>
          <w:p w14:paraId="14973A74" w14:textId="4182E6AC" w:rsidR="003A24D7" w:rsidRPr="00C64973" w:rsidRDefault="00E14B63" w:rsidP="00FC27BE">
            <w:pPr>
              <w:spacing w:after="0"/>
              <w:rPr>
                <w:rFonts w:cs="Arial"/>
              </w:rPr>
            </w:pPr>
            <w:r w:rsidRPr="00C64973">
              <w:rPr>
                <w:rFonts w:cs="Arial"/>
              </w:rPr>
              <w:t xml:space="preserve"> </w:t>
            </w:r>
            <w:r w:rsidR="00D43CF7" w:rsidRPr="00C64973">
              <w:rPr>
                <w:rFonts w:cs="Arial"/>
              </w:rPr>
              <w:t>76</w:t>
            </w:r>
          </w:p>
        </w:tc>
      </w:tr>
      <w:tr w:rsidR="003A24D7" w:rsidRPr="00C64973" w14:paraId="02C152F5" w14:textId="77777777" w:rsidTr="00804F8E">
        <w:tc>
          <w:tcPr>
            <w:tcW w:w="2070" w:type="dxa"/>
            <w:shd w:val="clear" w:color="auto" w:fill="auto"/>
            <w:vAlign w:val="bottom"/>
          </w:tcPr>
          <w:p w14:paraId="51029A4A" w14:textId="030B5E22" w:rsidR="003A24D7" w:rsidRPr="00C64973" w:rsidRDefault="00D574E5" w:rsidP="00FC27BE">
            <w:pPr>
              <w:spacing w:after="0"/>
              <w:rPr>
                <w:b/>
              </w:rPr>
            </w:pPr>
            <w:r>
              <w:rPr>
                <w:b/>
              </w:rPr>
              <w:t>COMS</w:t>
            </w:r>
          </w:p>
        </w:tc>
        <w:tc>
          <w:tcPr>
            <w:tcW w:w="900" w:type="dxa"/>
            <w:shd w:val="clear" w:color="auto" w:fill="auto"/>
            <w:vAlign w:val="center"/>
          </w:tcPr>
          <w:p w14:paraId="6BE5F899" w14:textId="12FCC574" w:rsidR="003A24D7" w:rsidRPr="00C64973" w:rsidRDefault="00E14B63" w:rsidP="00FC27BE">
            <w:pPr>
              <w:spacing w:after="0"/>
              <w:rPr>
                <w:rFonts w:cs="Arial"/>
              </w:rPr>
            </w:pPr>
            <w:r w:rsidRPr="00C64973">
              <w:rPr>
                <w:rFonts w:cs="Arial"/>
              </w:rPr>
              <w:t xml:space="preserve"> </w:t>
            </w:r>
            <w:r w:rsidR="00751FB7" w:rsidRPr="00C64973">
              <w:rPr>
                <w:rFonts w:cs="Arial"/>
              </w:rPr>
              <w:t>18</w:t>
            </w:r>
          </w:p>
        </w:tc>
        <w:tc>
          <w:tcPr>
            <w:tcW w:w="990" w:type="dxa"/>
            <w:shd w:val="clear" w:color="auto" w:fill="auto"/>
            <w:vAlign w:val="center"/>
          </w:tcPr>
          <w:p w14:paraId="707EFF1D" w14:textId="78AAE1EC" w:rsidR="003A24D7" w:rsidRPr="00C64973" w:rsidRDefault="00E14B63" w:rsidP="00FC27BE">
            <w:pPr>
              <w:spacing w:after="0"/>
              <w:rPr>
                <w:rFonts w:cs="Arial"/>
              </w:rPr>
            </w:pPr>
            <w:r w:rsidRPr="00C64973">
              <w:rPr>
                <w:rFonts w:cs="Arial"/>
              </w:rPr>
              <w:t xml:space="preserve">  </w:t>
            </w:r>
            <w:r w:rsidR="00D57375" w:rsidRPr="00C64973">
              <w:rPr>
                <w:rFonts w:cs="Arial"/>
              </w:rPr>
              <w:t>22</w:t>
            </w:r>
          </w:p>
        </w:tc>
        <w:tc>
          <w:tcPr>
            <w:tcW w:w="900" w:type="dxa"/>
            <w:shd w:val="clear" w:color="auto" w:fill="auto"/>
            <w:vAlign w:val="center"/>
          </w:tcPr>
          <w:p w14:paraId="530DED5A" w14:textId="4B8B5FE8" w:rsidR="003A24D7" w:rsidRPr="00C64973" w:rsidRDefault="00E14B63" w:rsidP="00FC27BE">
            <w:pPr>
              <w:spacing w:after="0"/>
              <w:rPr>
                <w:rFonts w:cs="Arial"/>
              </w:rPr>
            </w:pPr>
            <w:r w:rsidRPr="00C64973">
              <w:rPr>
                <w:rFonts w:cs="Arial"/>
              </w:rPr>
              <w:t xml:space="preserve"> </w:t>
            </w:r>
            <w:r w:rsidR="00D43CF7" w:rsidRPr="00C64973">
              <w:rPr>
                <w:rFonts w:cs="Arial"/>
              </w:rPr>
              <w:t>26</w:t>
            </w:r>
          </w:p>
        </w:tc>
      </w:tr>
      <w:tr w:rsidR="003A24D7" w:rsidRPr="00C64973" w14:paraId="310F697C" w14:textId="77777777" w:rsidTr="00804F8E">
        <w:tc>
          <w:tcPr>
            <w:tcW w:w="2070" w:type="dxa"/>
            <w:shd w:val="clear" w:color="auto" w:fill="auto"/>
            <w:vAlign w:val="bottom"/>
          </w:tcPr>
          <w:p w14:paraId="4D9835D4" w14:textId="77777777" w:rsidR="003A24D7" w:rsidRPr="00C64973" w:rsidRDefault="003A24D7" w:rsidP="00FC27BE">
            <w:pPr>
              <w:spacing w:after="0"/>
              <w:rPr>
                <w:b/>
              </w:rPr>
            </w:pPr>
            <w:r w:rsidRPr="00C64973">
              <w:rPr>
                <w:b/>
              </w:rPr>
              <w:t>Dually certified</w:t>
            </w:r>
          </w:p>
        </w:tc>
        <w:tc>
          <w:tcPr>
            <w:tcW w:w="900" w:type="dxa"/>
            <w:shd w:val="clear" w:color="auto" w:fill="auto"/>
            <w:vAlign w:val="center"/>
          </w:tcPr>
          <w:p w14:paraId="6355E207" w14:textId="1AA5332C" w:rsidR="003A24D7" w:rsidRPr="00C64973" w:rsidRDefault="00E14B63" w:rsidP="00FC27BE">
            <w:pPr>
              <w:spacing w:after="0"/>
              <w:rPr>
                <w:rFonts w:cs="Arial"/>
              </w:rPr>
            </w:pPr>
            <w:r w:rsidRPr="00C64973">
              <w:rPr>
                <w:rFonts w:cs="Arial"/>
              </w:rPr>
              <w:t xml:space="preserve">   </w:t>
            </w:r>
            <w:r w:rsidR="00D57375" w:rsidRPr="00C64973">
              <w:rPr>
                <w:rFonts w:cs="Arial"/>
              </w:rPr>
              <w:t>5</w:t>
            </w:r>
          </w:p>
        </w:tc>
        <w:tc>
          <w:tcPr>
            <w:tcW w:w="990" w:type="dxa"/>
            <w:shd w:val="clear" w:color="auto" w:fill="auto"/>
            <w:vAlign w:val="center"/>
          </w:tcPr>
          <w:p w14:paraId="70CD197B" w14:textId="33B1280B" w:rsidR="003A24D7" w:rsidRPr="00C64973" w:rsidRDefault="00E14B63" w:rsidP="00FC27BE">
            <w:pPr>
              <w:spacing w:after="0"/>
              <w:rPr>
                <w:rFonts w:cs="Arial"/>
              </w:rPr>
            </w:pPr>
            <w:r w:rsidRPr="00C64973">
              <w:rPr>
                <w:rFonts w:cs="Arial"/>
              </w:rPr>
              <w:t xml:space="preserve">    </w:t>
            </w:r>
            <w:r w:rsidR="00D57375" w:rsidRPr="00C64973">
              <w:rPr>
                <w:rFonts w:cs="Arial"/>
              </w:rPr>
              <w:t>7</w:t>
            </w:r>
          </w:p>
        </w:tc>
        <w:tc>
          <w:tcPr>
            <w:tcW w:w="900" w:type="dxa"/>
            <w:shd w:val="clear" w:color="auto" w:fill="auto"/>
            <w:vAlign w:val="center"/>
          </w:tcPr>
          <w:p w14:paraId="075775F4" w14:textId="087C11F4" w:rsidR="003A24D7" w:rsidRPr="00C64973" w:rsidRDefault="00D43CF7" w:rsidP="00FC27BE">
            <w:pPr>
              <w:spacing w:after="0"/>
              <w:rPr>
                <w:rFonts w:cs="Arial"/>
              </w:rPr>
            </w:pPr>
            <w:r w:rsidRPr="00C64973">
              <w:rPr>
                <w:rFonts w:cs="Arial"/>
              </w:rPr>
              <w:t xml:space="preserve">  6</w:t>
            </w:r>
          </w:p>
        </w:tc>
      </w:tr>
      <w:tr w:rsidR="003A24D7" w:rsidRPr="00C64973" w14:paraId="4EA161F1" w14:textId="77777777" w:rsidTr="00804F8E">
        <w:tc>
          <w:tcPr>
            <w:tcW w:w="2070" w:type="dxa"/>
            <w:shd w:val="clear" w:color="auto" w:fill="auto"/>
            <w:vAlign w:val="bottom"/>
          </w:tcPr>
          <w:p w14:paraId="374E78B0" w14:textId="77777777" w:rsidR="003A24D7" w:rsidRPr="00C64973" w:rsidRDefault="003A24D7" w:rsidP="00FC27BE">
            <w:pPr>
              <w:spacing w:after="0"/>
              <w:rPr>
                <w:b/>
                <w:bCs/>
              </w:rPr>
            </w:pPr>
            <w:r w:rsidRPr="00C64973">
              <w:rPr>
                <w:b/>
                <w:bCs/>
              </w:rPr>
              <w:t>Total</w:t>
            </w:r>
          </w:p>
        </w:tc>
        <w:tc>
          <w:tcPr>
            <w:tcW w:w="900" w:type="dxa"/>
            <w:shd w:val="clear" w:color="auto" w:fill="auto"/>
            <w:vAlign w:val="center"/>
          </w:tcPr>
          <w:p w14:paraId="5878CC15" w14:textId="4F835588" w:rsidR="003A24D7" w:rsidRPr="00C64973" w:rsidRDefault="00E14B63" w:rsidP="00FC27BE">
            <w:pPr>
              <w:spacing w:after="0"/>
              <w:rPr>
                <w:rFonts w:cs="Arial"/>
                <w:b/>
              </w:rPr>
            </w:pPr>
            <w:r w:rsidRPr="00C64973">
              <w:rPr>
                <w:rFonts w:cs="Arial"/>
                <w:b/>
              </w:rPr>
              <w:t xml:space="preserve"> </w:t>
            </w:r>
            <w:r w:rsidR="00D57375" w:rsidRPr="00C64973">
              <w:rPr>
                <w:rFonts w:cs="Arial"/>
                <w:b/>
              </w:rPr>
              <w:t>105</w:t>
            </w:r>
          </w:p>
        </w:tc>
        <w:tc>
          <w:tcPr>
            <w:tcW w:w="990" w:type="dxa"/>
            <w:shd w:val="clear" w:color="auto" w:fill="auto"/>
            <w:vAlign w:val="center"/>
          </w:tcPr>
          <w:p w14:paraId="2D3A1ACC" w14:textId="0AF160C7" w:rsidR="003A24D7" w:rsidRPr="00C64973" w:rsidRDefault="00E14B63" w:rsidP="00FC27BE">
            <w:pPr>
              <w:spacing w:after="0"/>
              <w:rPr>
                <w:rFonts w:cs="Arial"/>
                <w:b/>
              </w:rPr>
            </w:pPr>
            <w:r w:rsidRPr="00C64973">
              <w:rPr>
                <w:rFonts w:cs="Arial"/>
                <w:b/>
              </w:rPr>
              <w:t xml:space="preserve">  </w:t>
            </w:r>
            <w:r w:rsidR="00D57375" w:rsidRPr="00C64973">
              <w:rPr>
                <w:rFonts w:cs="Arial"/>
                <w:b/>
              </w:rPr>
              <w:t>116</w:t>
            </w:r>
          </w:p>
        </w:tc>
        <w:tc>
          <w:tcPr>
            <w:tcW w:w="900" w:type="dxa"/>
            <w:shd w:val="clear" w:color="auto" w:fill="auto"/>
            <w:vAlign w:val="center"/>
          </w:tcPr>
          <w:p w14:paraId="2922BD6E" w14:textId="3173D7C3" w:rsidR="003A24D7" w:rsidRPr="00C64973" w:rsidRDefault="00E14B63" w:rsidP="00FC27BE">
            <w:pPr>
              <w:spacing w:after="0"/>
              <w:rPr>
                <w:rFonts w:cs="Arial"/>
                <w:b/>
              </w:rPr>
            </w:pPr>
            <w:r w:rsidRPr="00C64973">
              <w:rPr>
                <w:rFonts w:cs="Arial"/>
                <w:b/>
              </w:rPr>
              <w:t xml:space="preserve"> </w:t>
            </w:r>
            <w:r w:rsidR="00D43CF7" w:rsidRPr="00C64973">
              <w:rPr>
                <w:rFonts w:cs="Arial"/>
                <w:b/>
              </w:rPr>
              <w:t>108</w:t>
            </w:r>
          </w:p>
        </w:tc>
      </w:tr>
    </w:tbl>
    <w:p w14:paraId="1C4D72E5" w14:textId="3AF574CE" w:rsidR="00A050AF" w:rsidRPr="00C64973" w:rsidRDefault="00A050AF" w:rsidP="002B5A09">
      <w:pPr>
        <w:rPr>
          <w:b/>
        </w:rPr>
      </w:pPr>
    </w:p>
    <w:p w14:paraId="7A8CCC78" w14:textId="4D4B13E6" w:rsidR="00D551D7" w:rsidRPr="00C64973" w:rsidRDefault="003309AC" w:rsidP="002B5A09">
      <w:pPr>
        <w:rPr>
          <w:b/>
        </w:rPr>
      </w:pPr>
      <w:r w:rsidRPr="00C64973">
        <w:rPr>
          <w:b/>
        </w:rPr>
        <w:t>Spanish-Speaking VI 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900"/>
        <w:gridCol w:w="1080"/>
        <w:gridCol w:w="810"/>
      </w:tblGrid>
      <w:tr w:rsidR="003A24D7" w:rsidRPr="00C64973" w14:paraId="51C68CDC" w14:textId="77777777" w:rsidTr="003309AC">
        <w:trPr>
          <w:cantSplit/>
          <w:tblHeader/>
        </w:trPr>
        <w:tc>
          <w:tcPr>
            <w:tcW w:w="2070" w:type="dxa"/>
            <w:tcBorders>
              <w:top w:val="nil"/>
              <w:left w:val="nil"/>
              <w:bottom w:val="single" w:sz="2" w:space="0" w:color="000000"/>
              <w:right w:val="nil"/>
            </w:tcBorders>
            <w:vAlign w:val="bottom"/>
          </w:tcPr>
          <w:p w14:paraId="69633A47" w14:textId="77777777" w:rsidR="003A24D7" w:rsidRPr="00C64973" w:rsidRDefault="003A24D7" w:rsidP="00A1438A">
            <w:pPr>
              <w:spacing w:after="0"/>
              <w:rPr>
                <w:rFonts w:ascii="Cambria" w:hAnsi="Cambria"/>
                <w:b/>
                <w:sz w:val="26"/>
                <w:szCs w:val="26"/>
              </w:rPr>
            </w:pPr>
          </w:p>
        </w:tc>
        <w:tc>
          <w:tcPr>
            <w:tcW w:w="900" w:type="dxa"/>
            <w:tcBorders>
              <w:top w:val="nil"/>
              <w:left w:val="nil"/>
              <w:bottom w:val="single" w:sz="2" w:space="0" w:color="000000"/>
              <w:right w:val="nil"/>
            </w:tcBorders>
            <w:vAlign w:val="bottom"/>
          </w:tcPr>
          <w:p w14:paraId="1EBFA284" w14:textId="010B225C" w:rsidR="003A24D7" w:rsidRPr="00C64973" w:rsidRDefault="00D57375" w:rsidP="00A1438A">
            <w:pPr>
              <w:spacing w:after="0"/>
              <w:rPr>
                <w:b/>
                <w:szCs w:val="26"/>
              </w:rPr>
            </w:pPr>
            <w:r w:rsidRPr="00C64973">
              <w:rPr>
                <w:b/>
                <w:szCs w:val="26"/>
              </w:rPr>
              <w:t>2018</w:t>
            </w:r>
          </w:p>
        </w:tc>
        <w:tc>
          <w:tcPr>
            <w:tcW w:w="1080" w:type="dxa"/>
            <w:tcBorders>
              <w:top w:val="nil"/>
              <w:left w:val="nil"/>
              <w:bottom w:val="single" w:sz="2" w:space="0" w:color="000000"/>
              <w:right w:val="nil"/>
            </w:tcBorders>
            <w:vAlign w:val="bottom"/>
          </w:tcPr>
          <w:p w14:paraId="38CA6AEF" w14:textId="0608ECA5" w:rsidR="003A24D7" w:rsidRPr="00C64973" w:rsidRDefault="00751FB7" w:rsidP="00A1438A">
            <w:pPr>
              <w:spacing w:after="0"/>
              <w:rPr>
                <w:b/>
                <w:szCs w:val="26"/>
              </w:rPr>
            </w:pPr>
            <w:r w:rsidRPr="00C64973">
              <w:rPr>
                <w:b/>
                <w:szCs w:val="26"/>
              </w:rPr>
              <w:t>2</w:t>
            </w:r>
            <w:r w:rsidR="00D57375" w:rsidRPr="00C64973">
              <w:rPr>
                <w:b/>
                <w:szCs w:val="26"/>
              </w:rPr>
              <w:t>019</w:t>
            </w:r>
          </w:p>
        </w:tc>
        <w:tc>
          <w:tcPr>
            <w:tcW w:w="810" w:type="dxa"/>
            <w:tcBorders>
              <w:top w:val="nil"/>
              <w:left w:val="nil"/>
              <w:bottom w:val="single" w:sz="2" w:space="0" w:color="000000"/>
              <w:right w:val="nil"/>
            </w:tcBorders>
            <w:vAlign w:val="bottom"/>
          </w:tcPr>
          <w:p w14:paraId="48752984" w14:textId="32492081" w:rsidR="003A24D7" w:rsidRPr="00C64973" w:rsidRDefault="00D57375" w:rsidP="00A1438A">
            <w:pPr>
              <w:spacing w:after="0"/>
              <w:rPr>
                <w:b/>
                <w:szCs w:val="26"/>
              </w:rPr>
            </w:pPr>
            <w:r w:rsidRPr="00C64973">
              <w:rPr>
                <w:b/>
                <w:szCs w:val="26"/>
              </w:rPr>
              <w:t>2020</w:t>
            </w:r>
          </w:p>
        </w:tc>
      </w:tr>
      <w:tr w:rsidR="003A24D7" w:rsidRPr="00C64973" w14:paraId="6E78FE5B" w14:textId="77777777" w:rsidTr="003309AC">
        <w:tc>
          <w:tcPr>
            <w:tcW w:w="2070" w:type="dxa"/>
            <w:tcBorders>
              <w:top w:val="single" w:sz="2" w:space="0" w:color="000000"/>
              <w:left w:val="single" w:sz="2" w:space="0" w:color="000000"/>
              <w:bottom w:val="single" w:sz="2" w:space="0" w:color="000000"/>
              <w:right w:val="single" w:sz="2" w:space="0" w:color="000000"/>
            </w:tcBorders>
            <w:vAlign w:val="bottom"/>
          </w:tcPr>
          <w:p w14:paraId="4916C0F1" w14:textId="12CAB487" w:rsidR="003A24D7" w:rsidRPr="00C64973" w:rsidRDefault="00723F4D" w:rsidP="00A1438A">
            <w:pPr>
              <w:spacing w:after="0"/>
              <w:rPr>
                <w:b/>
              </w:rPr>
            </w:pPr>
            <w:r w:rsidRPr="00C64973">
              <w:rPr>
                <w:b/>
              </w:rPr>
              <w:t>TVI</w:t>
            </w:r>
            <w:r w:rsidR="003A24D7" w:rsidRPr="00C64973">
              <w:rPr>
                <w:b/>
              </w:rPr>
              <w:t>s</w:t>
            </w:r>
          </w:p>
        </w:tc>
        <w:tc>
          <w:tcPr>
            <w:tcW w:w="900" w:type="dxa"/>
            <w:tcBorders>
              <w:top w:val="single" w:sz="2" w:space="0" w:color="000000"/>
              <w:left w:val="single" w:sz="2" w:space="0" w:color="000000"/>
              <w:bottom w:val="single" w:sz="2" w:space="0" w:color="000000"/>
              <w:right w:val="single" w:sz="2" w:space="0" w:color="000000"/>
            </w:tcBorders>
            <w:vAlign w:val="bottom"/>
          </w:tcPr>
          <w:p w14:paraId="08F4C268" w14:textId="001E247C" w:rsidR="003A24D7" w:rsidRPr="00C64973" w:rsidRDefault="00E14B63" w:rsidP="00A1438A">
            <w:pPr>
              <w:spacing w:after="0"/>
              <w:rPr>
                <w:rFonts w:cs="Arial"/>
              </w:rPr>
            </w:pPr>
            <w:r w:rsidRPr="00C64973">
              <w:rPr>
                <w:rFonts w:cs="Arial"/>
              </w:rPr>
              <w:t xml:space="preserve"> </w:t>
            </w:r>
            <w:r w:rsidR="00D57375" w:rsidRPr="00C64973">
              <w:rPr>
                <w:rFonts w:cs="Arial"/>
              </w:rPr>
              <w:t>77</w:t>
            </w:r>
          </w:p>
        </w:tc>
        <w:tc>
          <w:tcPr>
            <w:tcW w:w="1080" w:type="dxa"/>
            <w:tcBorders>
              <w:top w:val="single" w:sz="2" w:space="0" w:color="000000"/>
              <w:left w:val="single" w:sz="2" w:space="0" w:color="000000"/>
              <w:bottom w:val="single" w:sz="2" w:space="0" w:color="000000"/>
              <w:right w:val="single" w:sz="2" w:space="0" w:color="000000"/>
            </w:tcBorders>
            <w:vAlign w:val="bottom"/>
          </w:tcPr>
          <w:p w14:paraId="30D2D5FE" w14:textId="698BCC41" w:rsidR="003A24D7" w:rsidRPr="00C64973" w:rsidRDefault="00E14B63" w:rsidP="00A1438A">
            <w:pPr>
              <w:spacing w:after="0"/>
              <w:rPr>
                <w:rFonts w:cs="Arial"/>
              </w:rPr>
            </w:pPr>
            <w:r w:rsidRPr="00C64973">
              <w:rPr>
                <w:rFonts w:cs="Arial"/>
              </w:rPr>
              <w:t xml:space="preserve">  </w:t>
            </w:r>
            <w:r w:rsidR="00D57375" w:rsidRPr="00C64973">
              <w:rPr>
                <w:rFonts w:cs="Arial"/>
              </w:rPr>
              <w:t>72</w:t>
            </w:r>
          </w:p>
        </w:tc>
        <w:tc>
          <w:tcPr>
            <w:tcW w:w="810" w:type="dxa"/>
            <w:tcBorders>
              <w:top w:val="single" w:sz="2" w:space="0" w:color="000000"/>
              <w:left w:val="single" w:sz="2" w:space="0" w:color="000000"/>
              <w:bottom w:val="single" w:sz="2" w:space="0" w:color="000000"/>
              <w:right w:val="single" w:sz="2" w:space="0" w:color="000000"/>
            </w:tcBorders>
            <w:vAlign w:val="bottom"/>
          </w:tcPr>
          <w:p w14:paraId="23682C52" w14:textId="134D1C1A" w:rsidR="003A24D7" w:rsidRPr="00C64973" w:rsidRDefault="00E14B63" w:rsidP="00A1438A">
            <w:pPr>
              <w:spacing w:after="0"/>
              <w:rPr>
                <w:rFonts w:cs="Arial"/>
              </w:rPr>
            </w:pPr>
            <w:r w:rsidRPr="00C64973">
              <w:rPr>
                <w:rFonts w:cs="Arial"/>
              </w:rPr>
              <w:t xml:space="preserve"> </w:t>
            </w:r>
            <w:r w:rsidR="00D43CF7" w:rsidRPr="00C64973">
              <w:rPr>
                <w:rFonts w:cs="Arial"/>
              </w:rPr>
              <w:t>72</w:t>
            </w:r>
          </w:p>
        </w:tc>
      </w:tr>
      <w:tr w:rsidR="003A24D7" w:rsidRPr="00C64973" w14:paraId="6C68CEBD" w14:textId="77777777" w:rsidTr="003309AC">
        <w:tc>
          <w:tcPr>
            <w:tcW w:w="2070" w:type="dxa"/>
            <w:tcBorders>
              <w:top w:val="single" w:sz="2" w:space="0" w:color="000000"/>
              <w:left w:val="single" w:sz="2" w:space="0" w:color="000000"/>
              <w:bottom w:val="single" w:sz="2" w:space="0" w:color="000000"/>
              <w:right w:val="single" w:sz="2" w:space="0" w:color="000000"/>
            </w:tcBorders>
            <w:vAlign w:val="bottom"/>
          </w:tcPr>
          <w:p w14:paraId="32C2EE95" w14:textId="7E523D37" w:rsidR="003A24D7" w:rsidRPr="00C64973" w:rsidRDefault="00D574E5" w:rsidP="00A1438A">
            <w:pPr>
              <w:spacing w:after="0"/>
              <w:rPr>
                <w:b/>
              </w:rPr>
            </w:pPr>
            <w:r>
              <w:rPr>
                <w:b/>
              </w:rPr>
              <w:t>COMS</w:t>
            </w:r>
          </w:p>
        </w:tc>
        <w:tc>
          <w:tcPr>
            <w:tcW w:w="900" w:type="dxa"/>
            <w:tcBorders>
              <w:top w:val="single" w:sz="2" w:space="0" w:color="000000"/>
              <w:left w:val="single" w:sz="2" w:space="0" w:color="000000"/>
              <w:bottom w:val="single" w:sz="2" w:space="0" w:color="000000"/>
              <w:right w:val="single" w:sz="2" w:space="0" w:color="000000"/>
            </w:tcBorders>
            <w:vAlign w:val="bottom"/>
          </w:tcPr>
          <w:p w14:paraId="7B4797FA" w14:textId="1E3BFF4A" w:rsidR="003A24D7" w:rsidRPr="00C64973" w:rsidRDefault="00E14B63" w:rsidP="00A1438A">
            <w:pPr>
              <w:spacing w:after="0"/>
              <w:rPr>
                <w:rFonts w:cs="Arial"/>
              </w:rPr>
            </w:pPr>
            <w:bookmarkStart w:id="54" w:name="_Toc347126889"/>
            <w:bookmarkStart w:id="55" w:name="_Toc347127158"/>
            <w:bookmarkStart w:id="56" w:name="_Toc350353488"/>
            <w:bookmarkStart w:id="57" w:name="_Toc350353615"/>
            <w:bookmarkStart w:id="58" w:name="_Toc374001791"/>
            <w:bookmarkStart w:id="59" w:name="_Toc378778999"/>
            <w:bookmarkStart w:id="60" w:name="_Toc378921245"/>
            <w:bookmarkStart w:id="61" w:name="_Toc379264730"/>
            <w:r w:rsidRPr="00C64973">
              <w:rPr>
                <w:rFonts w:cs="Arial"/>
              </w:rPr>
              <w:t xml:space="preserve"> </w:t>
            </w:r>
            <w:bookmarkEnd w:id="54"/>
            <w:bookmarkEnd w:id="55"/>
            <w:bookmarkEnd w:id="56"/>
            <w:bookmarkEnd w:id="57"/>
            <w:bookmarkEnd w:id="58"/>
            <w:bookmarkEnd w:id="59"/>
            <w:bookmarkEnd w:id="60"/>
            <w:bookmarkEnd w:id="61"/>
            <w:r w:rsidR="00D57375" w:rsidRPr="00C64973">
              <w:rPr>
                <w:rFonts w:cs="Arial"/>
              </w:rPr>
              <w:t>20</w:t>
            </w:r>
          </w:p>
        </w:tc>
        <w:tc>
          <w:tcPr>
            <w:tcW w:w="1080" w:type="dxa"/>
            <w:tcBorders>
              <w:top w:val="single" w:sz="2" w:space="0" w:color="000000"/>
              <w:left w:val="single" w:sz="2" w:space="0" w:color="000000"/>
              <w:bottom w:val="single" w:sz="2" w:space="0" w:color="000000"/>
              <w:right w:val="single" w:sz="2" w:space="0" w:color="000000"/>
            </w:tcBorders>
            <w:vAlign w:val="bottom"/>
          </w:tcPr>
          <w:p w14:paraId="049E4776" w14:textId="0FACBB7A" w:rsidR="003A24D7" w:rsidRPr="00C64973" w:rsidRDefault="00E14B63" w:rsidP="00A1438A">
            <w:pPr>
              <w:spacing w:after="0"/>
              <w:rPr>
                <w:rFonts w:cs="Arial"/>
              </w:rPr>
            </w:pPr>
            <w:bookmarkStart w:id="62" w:name="_Toc374001792"/>
            <w:bookmarkStart w:id="63" w:name="_Toc378779000"/>
            <w:bookmarkStart w:id="64" w:name="_Toc378921246"/>
            <w:bookmarkStart w:id="65" w:name="_Toc379264731"/>
            <w:r w:rsidRPr="00C64973">
              <w:rPr>
                <w:rFonts w:cs="Arial"/>
              </w:rPr>
              <w:t xml:space="preserve">  </w:t>
            </w:r>
            <w:bookmarkEnd w:id="62"/>
            <w:bookmarkEnd w:id="63"/>
            <w:bookmarkEnd w:id="64"/>
            <w:bookmarkEnd w:id="65"/>
            <w:r w:rsidR="00D57375" w:rsidRPr="00C64973">
              <w:rPr>
                <w:rFonts w:cs="Arial"/>
              </w:rPr>
              <w:t>19</w:t>
            </w:r>
          </w:p>
        </w:tc>
        <w:tc>
          <w:tcPr>
            <w:tcW w:w="810" w:type="dxa"/>
            <w:tcBorders>
              <w:top w:val="single" w:sz="2" w:space="0" w:color="000000"/>
              <w:left w:val="single" w:sz="2" w:space="0" w:color="000000"/>
              <w:bottom w:val="single" w:sz="2" w:space="0" w:color="000000"/>
              <w:right w:val="single" w:sz="2" w:space="0" w:color="000000"/>
            </w:tcBorders>
            <w:vAlign w:val="bottom"/>
          </w:tcPr>
          <w:p w14:paraId="4728343C" w14:textId="3E2B1DF4" w:rsidR="003A24D7" w:rsidRPr="00C64973" w:rsidRDefault="00D43CF7" w:rsidP="00A1438A">
            <w:pPr>
              <w:spacing w:after="0"/>
              <w:rPr>
                <w:rFonts w:cs="Arial"/>
              </w:rPr>
            </w:pPr>
            <w:r w:rsidRPr="00C64973">
              <w:rPr>
                <w:rFonts w:cs="Arial"/>
              </w:rPr>
              <w:t xml:space="preserve"> 23</w:t>
            </w:r>
          </w:p>
        </w:tc>
      </w:tr>
      <w:tr w:rsidR="003A24D7" w:rsidRPr="00C64973" w14:paraId="31105441" w14:textId="77777777" w:rsidTr="003309AC">
        <w:tc>
          <w:tcPr>
            <w:tcW w:w="2070" w:type="dxa"/>
            <w:tcBorders>
              <w:top w:val="single" w:sz="2" w:space="0" w:color="000000"/>
              <w:left w:val="single" w:sz="2" w:space="0" w:color="000000"/>
              <w:bottom w:val="single" w:sz="2" w:space="0" w:color="000000"/>
              <w:right w:val="single" w:sz="2" w:space="0" w:color="000000"/>
            </w:tcBorders>
            <w:vAlign w:val="bottom"/>
          </w:tcPr>
          <w:p w14:paraId="0BD02CE9" w14:textId="77777777" w:rsidR="003A24D7" w:rsidRPr="00C64973" w:rsidRDefault="003A24D7" w:rsidP="00A1438A">
            <w:pPr>
              <w:spacing w:after="0"/>
              <w:rPr>
                <w:b/>
              </w:rPr>
            </w:pPr>
            <w:r w:rsidRPr="00C64973">
              <w:rPr>
                <w:b/>
              </w:rPr>
              <w:t>Dually certified</w:t>
            </w:r>
          </w:p>
        </w:tc>
        <w:tc>
          <w:tcPr>
            <w:tcW w:w="900" w:type="dxa"/>
            <w:tcBorders>
              <w:top w:val="single" w:sz="2" w:space="0" w:color="000000"/>
              <w:left w:val="single" w:sz="2" w:space="0" w:color="000000"/>
              <w:bottom w:val="single" w:sz="2" w:space="0" w:color="000000"/>
              <w:right w:val="single" w:sz="2" w:space="0" w:color="000000"/>
            </w:tcBorders>
            <w:vAlign w:val="bottom"/>
          </w:tcPr>
          <w:p w14:paraId="4C57B10C" w14:textId="337374DA" w:rsidR="003A24D7" w:rsidRPr="00C64973" w:rsidRDefault="009E04A2" w:rsidP="00A1438A">
            <w:pPr>
              <w:spacing w:after="0"/>
              <w:rPr>
                <w:rFonts w:cs="Arial"/>
              </w:rPr>
            </w:pPr>
            <w:r w:rsidRPr="00C64973">
              <w:rPr>
                <w:rFonts w:cs="Arial"/>
              </w:rPr>
              <w:t xml:space="preserve">   </w:t>
            </w:r>
            <w:r w:rsidR="00D57375" w:rsidRPr="00C64973">
              <w:rPr>
                <w:rFonts w:cs="Arial"/>
              </w:rPr>
              <w:t>9</w:t>
            </w:r>
          </w:p>
        </w:tc>
        <w:tc>
          <w:tcPr>
            <w:tcW w:w="1080" w:type="dxa"/>
            <w:tcBorders>
              <w:top w:val="single" w:sz="2" w:space="0" w:color="000000"/>
              <w:left w:val="single" w:sz="2" w:space="0" w:color="000000"/>
              <w:bottom w:val="single" w:sz="2" w:space="0" w:color="000000"/>
              <w:right w:val="single" w:sz="2" w:space="0" w:color="000000"/>
            </w:tcBorders>
            <w:vAlign w:val="bottom"/>
          </w:tcPr>
          <w:p w14:paraId="5B30015C" w14:textId="1985DBA7" w:rsidR="003A24D7" w:rsidRPr="00C64973" w:rsidRDefault="00E14B63" w:rsidP="00A1438A">
            <w:pPr>
              <w:spacing w:after="0"/>
              <w:rPr>
                <w:rFonts w:cs="Arial"/>
              </w:rPr>
            </w:pPr>
            <w:r w:rsidRPr="00C64973">
              <w:rPr>
                <w:rFonts w:cs="Arial"/>
              </w:rPr>
              <w:t xml:space="preserve">    </w:t>
            </w:r>
            <w:r w:rsidR="00D57375" w:rsidRPr="00C64973">
              <w:rPr>
                <w:rFonts w:cs="Arial"/>
              </w:rPr>
              <w:t>5</w:t>
            </w:r>
          </w:p>
        </w:tc>
        <w:tc>
          <w:tcPr>
            <w:tcW w:w="810" w:type="dxa"/>
            <w:tcBorders>
              <w:top w:val="single" w:sz="2" w:space="0" w:color="000000"/>
              <w:left w:val="single" w:sz="2" w:space="0" w:color="000000"/>
              <w:bottom w:val="single" w:sz="2" w:space="0" w:color="000000"/>
              <w:right w:val="single" w:sz="2" w:space="0" w:color="000000"/>
            </w:tcBorders>
            <w:vAlign w:val="bottom"/>
          </w:tcPr>
          <w:p w14:paraId="5BB104C1" w14:textId="009CFBB7" w:rsidR="003A24D7" w:rsidRPr="00C64973" w:rsidRDefault="00D43CF7" w:rsidP="00A1438A">
            <w:pPr>
              <w:spacing w:after="0"/>
              <w:rPr>
                <w:rFonts w:cs="Arial"/>
              </w:rPr>
            </w:pPr>
            <w:r w:rsidRPr="00C64973">
              <w:rPr>
                <w:rFonts w:cs="Arial"/>
              </w:rPr>
              <w:t xml:space="preserve">  9</w:t>
            </w:r>
          </w:p>
        </w:tc>
      </w:tr>
      <w:tr w:rsidR="003A24D7" w:rsidRPr="00C64973" w14:paraId="4FFE880E" w14:textId="77777777" w:rsidTr="003309AC">
        <w:tc>
          <w:tcPr>
            <w:tcW w:w="2070" w:type="dxa"/>
            <w:tcBorders>
              <w:top w:val="single" w:sz="2" w:space="0" w:color="000000"/>
              <w:left w:val="single" w:sz="2" w:space="0" w:color="000000"/>
              <w:bottom w:val="single" w:sz="2" w:space="0" w:color="000000"/>
              <w:right w:val="single" w:sz="2" w:space="0" w:color="000000"/>
            </w:tcBorders>
            <w:vAlign w:val="bottom"/>
          </w:tcPr>
          <w:p w14:paraId="5A7D09EB" w14:textId="77777777" w:rsidR="003A24D7" w:rsidRPr="00C64973" w:rsidRDefault="003A24D7" w:rsidP="00A1438A">
            <w:pPr>
              <w:spacing w:after="0"/>
              <w:rPr>
                <w:b/>
                <w:bCs/>
              </w:rPr>
            </w:pPr>
            <w:r w:rsidRPr="00C64973">
              <w:rPr>
                <w:b/>
                <w:bCs/>
              </w:rPr>
              <w:t>Total</w:t>
            </w:r>
          </w:p>
        </w:tc>
        <w:tc>
          <w:tcPr>
            <w:tcW w:w="900" w:type="dxa"/>
            <w:tcBorders>
              <w:top w:val="single" w:sz="2" w:space="0" w:color="000000"/>
              <w:left w:val="single" w:sz="2" w:space="0" w:color="000000"/>
              <w:bottom w:val="single" w:sz="2" w:space="0" w:color="000000"/>
              <w:right w:val="single" w:sz="2" w:space="0" w:color="000000"/>
            </w:tcBorders>
            <w:vAlign w:val="bottom"/>
          </w:tcPr>
          <w:p w14:paraId="09F26114" w14:textId="6BC4BB17" w:rsidR="003A24D7" w:rsidRPr="00C64973" w:rsidRDefault="00E14B63" w:rsidP="00A1438A">
            <w:pPr>
              <w:spacing w:after="0"/>
              <w:rPr>
                <w:rFonts w:cs="Arial"/>
                <w:b/>
              </w:rPr>
            </w:pPr>
            <w:r w:rsidRPr="00C64973">
              <w:rPr>
                <w:rFonts w:cs="Arial"/>
                <w:b/>
              </w:rPr>
              <w:t xml:space="preserve"> </w:t>
            </w:r>
            <w:r w:rsidR="00D57375" w:rsidRPr="00C64973">
              <w:rPr>
                <w:rFonts w:cs="Arial"/>
                <w:b/>
              </w:rPr>
              <w:t>106</w:t>
            </w:r>
          </w:p>
        </w:tc>
        <w:tc>
          <w:tcPr>
            <w:tcW w:w="1080" w:type="dxa"/>
            <w:tcBorders>
              <w:top w:val="single" w:sz="2" w:space="0" w:color="000000"/>
              <w:left w:val="single" w:sz="2" w:space="0" w:color="000000"/>
              <w:bottom w:val="single" w:sz="2" w:space="0" w:color="000000"/>
              <w:right w:val="single" w:sz="2" w:space="0" w:color="000000"/>
            </w:tcBorders>
            <w:vAlign w:val="bottom"/>
          </w:tcPr>
          <w:p w14:paraId="3282F48A" w14:textId="21A91401" w:rsidR="003A24D7" w:rsidRPr="00C64973" w:rsidRDefault="00E14B63" w:rsidP="00A1438A">
            <w:pPr>
              <w:spacing w:after="0"/>
              <w:rPr>
                <w:rFonts w:cs="Arial"/>
                <w:b/>
              </w:rPr>
            </w:pPr>
            <w:r w:rsidRPr="00C64973">
              <w:rPr>
                <w:rFonts w:cs="Arial"/>
                <w:b/>
              </w:rPr>
              <w:t xml:space="preserve">  </w:t>
            </w:r>
            <w:r w:rsidR="00D57375" w:rsidRPr="00C64973">
              <w:rPr>
                <w:rFonts w:cs="Arial"/>
                <w:b/>
              </w:rPr>
              <w:t>96</w:t>
            </w:r>
          </w:p>
        </w:tc>
        <w:tc>
          <w:tcPr>
            <w:tcW w:w="810" w:type="dxa"/>
            <w:tcBorders>
              <w:top w:val="single" w:sz="2" w:space="0" w:color="000000"/>
              <w:left w:val="single" w:sz="2" w:space="0" w:color="000000"/>
              <w:bottom w:val="single" w:sz="2" w:space="0" w:color="000000"/>
              <w:right w:val="single" w:sz="2" w:space="0" w:color="000000"/>
            </w:tcBorders>
            <w:vAlign w:val="bottom"/>
          </w:tcPr>
          <w:p w14:paraId="64EC156B" w14:textId="50072FFE" w:rsidR="003A24D7" w:rsidRPr="00C64973" w:rsidRDefault="00D43CF7" w:rsidP="00A1438A">
            <w:pPr>
              <w:spacing w:after="0"/>
              <w:rPr>
                <w:rFonts w:cs="Arial"/>
                <w:b/>
              </w:rPr>
            </w:pPr>
            <w:r w:rsidRPr="00C64973">
              <w:rPr>
                <w:rFonts w:cs="Arial"/>
                <w:b/>
              </w:rPr>
              <w:t xml:space="preserve"> 104</w:t>
            </w:r>
          </w:p>
        </w:tc>
      </w:tr>
    </w:tbl>
    <w:p w14:paraId="2E01E750" w14:textId="7BDEA983" w:rsidR="00AD5E8A" w:rsidRPr="00C64973" w:rsidRDefault="00AD5E8A" w:rsidP="002B5A09">
      <w:pPr>
        <w:rPr>
          <w:b/>
        </w:rPr>
        <w:sectPr w:rsidR="00AD5E8A" w:rsidRPr="00C64973" w:rsidSect="00AD5E8A">
          <w:endnotePr>
            <w:numFmt w:val="decimal"/>
          </w:endnotePr>
          <w:type w:val="continuous"/>
          <w:pgSz w:w="12240" w:h="15840"/>
          <w:pgMar w:top="1152" w:right="1080" w:bottom="1152" w:left="1080" w:header="144" w:footer="234" w:gutter="0"/>
          <w:pgNumType w:start="1"/>
          <w:cols w:num="2" w:space="720"/>
          <w:docGrid w:linePitch="326"/>
        </w:sectPr>
      </w:pPr>
    </w:p>
    <w:p w14:paraId="4FBB7C49" w14:textId="42D25F70" w:rsidR="003A24D7" w:rsidRPr="00C64973" w:rsidRDefault="003309AC" w:rsidP="002B5A09">
      <w:pPr>
        <w:rPr>
          <w:b/>
        </w:rPr>
      </w:pPr>
      <w:r w:rsidRPr="00C64973">
        <w:rPr>
          <w:b/>
        </w:rPr>
        <w:t>African-American VI 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900"/>
        <w:gridCol w:w="1080"/>
        <w:gridCol w:w="810"/>
      </w:tblGrid>
      <w:tr w:rsidR="003309AC" w:rsidRPr="00C64973" w14:paraId="5E8400D7" w14:textId="77777777" w:rsidTr="003309AC">
        <w:trPr>
          <w:cantSplit/>
          <w:tblHeader/>
        </w:trPr>
        <w:tc>
          <w:tcPr>
            <w:tcW w:w="2070" w:type="dxa"/>
            <w:tcBorders>
              <w:top w:val="nil"/>
              <w:left w:val="nil"/>
              <w:bottom w:val="single" w:sz="2" w:space="0" w:color="000000"/>
              <w:right w:val="nil"/>
            </w:tcBorders>
            <w:vAlign w:val="bottom"/>
          </w:tcPr>
          <w:p w14:paraId="3006FD64" w14:textId="77777777" w:rsidR="003309AC" w:rsidRPr="00C64973" w:rsidRDefault="003309AC" w:rsidP="00A1438A">
            <w:pPr>
              <w:spacing w:after="0"/>
            </w:pPr>
          </w:p>
        </w:tc>
        <w:tc>
          <w:tcPr>
            <w:tcW w:w="900" w:type="dxa"/>
            <w:tcBorders>
              <w:top w:val="nil"/>
              <w:left w:val="nil"/>
              <w:bottom w:val="single" w:sz="2" w:space="0" w:color="000000"/>
              <w:right w:val="nil"/>
            </w:tcBorders>
          </w:tcPr>
          <w:p w14:paraId="1733B9C6" w14:textId="0B35106B" w:rsidR="003309AC" w:rsidRPr="00C64973" w:rsidRDefault="00AD3891" w:rsidP="00A1438A">
            <w:pPr>
              <w:spacing w:after="0"/>
              <w:rPr>
                <w:b/>
                <w:szCs w:val="26"/>
              </w:rPr>
            </w:pPr>
            <w:r w:rsidRPr="00C64973">
              <w:rPr>
                <w:b/>
                <w:szCs w:val="26"/>
              </w:rPr>
              <w:t>20</w:t>
            </w:r>
            <w:r w:rsidR="000C1951" w:rsidRPr="00C64973">
              <w:rPr>
                <w:b/>
                <w:szCs w:val="26"/>
              </w:rPr>
              <w:t>18</w:t>
            </w:r>
          </w:p>
        </w:tc>
        <w:tc>
          <w:tcPr>
            <w:tcW w:w="1080" w:type="dxa"/>
            <w:tcBorders>
              <w:top w:val="nil"/>
              <w:left w:val="nil"/>
              <w:bottom w:val="single" w:sz="2" w:space="0" w:color="000000"/>
              <w:right w:val="nil"/>
            </w:tcBorders>
          </w:tcPr>
          <w:p w14:paraId="366AAF9B" w14:textId="177E641C" w:rsidR="003309AC" w:rsidRPr="00C64973" w:rsidRDefault="000C1951" w:rsidP="00A1438A">
            <w:pPr>
              <w:spacing w:after="0"/>
              <w:rPr>
                <w:b/>
                <w:szCs w:val="26"/>
              </w:rPr>
            </w:pPr>
            <w:r w:rsidRPr="00C64973">
              <w:rPr>
                <w:b/>
                <w:szCs w:val="26"/>
              </w:rPr>
              <w:t>2019</w:t>
            </w:r>
          </w:p>
        </w:tc>
        <w:tc>
          <w:tcPr>
            <w:tcW w:w="810" w:type="dxa"/>
            <w:tcBorders>
              <w:top w:val="nil"/>
              <w:left w:val="nil"/>
              <w:bottom w:val="single" w:sz="2" w:space="0" w:color="000000"/>
              <w:right w:val="nil"/>
            </w:tcBorders>
            <w:vAlign w:val="bottom"/>
          </w:tcPr>
          <w:p w14:paraId="35DF9C82" w14:textId="75840713" w:rsidR="003309AC" w:rsidRPr="00C64973" w:rsidRDefault="000C1951" w:rsidP="00A1438A">
            <w:pPr>
              <w:spacing w:after="0"/>
              <w:rPr>
                <w:b/>
                <w:szCs w:val="26"/>
              </w:rPr>
            </w:pPr>
            <w:r w:rsidRPr="00C64973">
              <w:rPr>
                <w:b/>
                <w:szCs w:val="26"/>
              </w:rPr>
              <w:t>2020</w:t>
            </w:r>
          </w:p>
        </w:tc>
      </w:tr>
      <w:tr w:rsidR="003309AC" w:rsidRPr="00C64973" w14:paraId="7FB4A505" w14:textId="77777777" w:rsidTr="003309AC">
        <w:tc>
          <w:tcPr>
            <w:tcW w:w="2070" w:type="dxa"/>
            <w:tcBorders>
              <w:top w:val="single" w:sz="2" w:space="0" w:color="000000"/>
              <w:left w:val="single" w:sz="2" w:space="0" w:color="000000"/>
              <w:bottom w:val="single" w:sz="2" w:space="0" w:color="000000"/>
              <w:right w:val="single" w:sz="2" w:space="0" w:color="000000"/>
            </w:tcBorders>
            <w:vAlign w:val="bottom"/>
          </w:tcPr>
          <w:p w14:paraId="09211B3D" w14:textId="0EA45C6A" w:rsidR="003309AC" w:rsidRPr="00C64973" w:rsidRDefault="00723F4D" w:rsidP="00A1438A">
            <w:pPr>
              <w:spacing w:after="0"/>
              <w:rPr>
                <w:b/>
              </w:rPr>
            </w:pPr>
            <w:r w:rsidRPr="00C64973">
              <w:rPr>
                <w:b/>
              </w:rPr>
              <w:t>TVI</w:t>
            </w:r>
            <w:r w:rsidR="003309AC" w:rsidRPr="00C64973">
              <w:rPr>
                <w:b/>
              </w:rPr>
              <w:t>s</w:t>
            </w:r>
          </w:p>
        </w:tc>
        <w:tc>
          <w:tcPr>
            <w:tcW w:w="900" w:type="dxa"/>
            <w:tcBorders>
              <w:top w:val="single" w:sz="2" w:space="0" w:color="000000"/>
              <w:left w:val="single" w:sz="2" w:space="0" w:color="000000"/>
              <w:bottom w:val="single" w:sz="2" w:space="0" w:color="000000"/>
              <w:right w:val="single" w:sz="2" w:space="0" w:color="000000"/>
            </w:tcBorders>
            <w:vAlign w:val="bottom"/>
          </w:tcPr>
          <w:p w14:paraId="561EB28C" w14:textId="6D37D04A" w:rsidR="003309AC" w:rsidRPr="00C64973" w:rsidRDefault="000C1951" w:rsidP="000C1951">
            <w:pPr>
              <w:spacing w:after="0"/>
              <w:jc w:val="center"/>
              <w:rPr>
                <w:rFonts w:cs="Arial"/>
              </w:rPr>
            </w:pPr>
            <w:r w:rsidRPr="00C64973">
              <w:rPr>
                <w:rFonts w:cs="Arial"/>
              </w:rPr>
              <w:t>34</w:t>
            </w:r>
          </w:p>
        </w:tc>
        <w:tc>
          <w:tcPr>
            <w:tcW w:w="1080" w:type="dxa"/>
            <w:tcBorders>
              <w:top w:val="single" w:sz="2" w:space="0" w:color="000000"/>
              <w:left w:val="single" w:sz="2" w:space="0" w:color="000000"/>
              <w:bottom w:val="single" w:sz="2" w:space="0" w:color="000000"/>
              <w:right w:val="single" w:sz="2" w:space="0" w:color="000000"/>
            </w:tcBorders>
            <w:vAlign w:val="bottom"/>
          </w:tcPr>
          <w:p w14:paraId="72B49852" w14:textId="113E94E1" w:rsidR="003309AC" w:rsidRPr="00C64973" w:rsidRDefault="000C1951" w:rsidP="000C1951">
            <w:pPr>
              <w:spacing w:after="0"/>
              <w:jc w:val="center"/>
              <w:rPr>
                <w:rFonts w:cs="Arial"/>
              </w:rPr>
            </w:pPr>
            <w:bookmarkStart w:id="66" w:name="_Toc374001802"/>
            <w:bookmarkStart w:id="67" w:name="_Toc378779010"/>
            <w:bookmarkStart w:id="68" w:name="_Toc378921252"/>
            <w:bookmarkStart w:id="69" w:name="_Toc379264737"/>
            <w:bookmarkEnd w:id="66"/>
            <w:bookmarkEnd w:id="67"/>
            <w:bookmarkEnd w:id="68"/>
            <w:bookmarkEnd w:id="69"/>
            <w:r w:rsidRPr="00C64973">
              <w:rPr>
                <w:rFonts w:cs="Arial"/>
              </w:rPr>
              <w:t>35</w:t>
            </w:r>
          </w:p>
        </w:tc>
        <w:tc>
          <w:tcPr>
            <w:tcW w:w="810" w:type="dxa"/>
            <w:tcBorders>
              <w:top w:val="single" w:sz="2" w:space="0" w:color="000000"/>
              <w:left w:val="single" w:sz="2" w:space="0" w:color="000000"/>
              <w:bottom w:val="single" w:sz="2" w:space="0" w:color="000000"/>
              <w:right w:val="single" w:sz="2" w:space="0" w:color="000000"/>
            </w:tcBorders>
            <w:vAlign w:val="bottom"/>
          </w:tcPr>
          <w:p w14:paraId="15447E79" w14:textId="28E24818" w:rsidR="003309AC" w:rsidRPr="00C64973" w:rsidRDefault="000C1951" w:rsidP="000C1951">
            <w:pPr>
              <w:spacing w:after="0"/>
              <w:jc w:val="center"/>
              <w:rPr>
                <w:rFonts w:cs="Arial"/>
              </w:rPr>
            </w:pPr>
            <w:r w:rsidRPr="00C64973">
              <w:rPr>
                <w:rFonts w:cs="Arial"/>
              </w:rPr>
              <w:t>44</w:t>
            </w:r>
          </w:p>
        </w:tc>
      </w:tr>
      <w:tr w:rsidR="003309AC" w:rsidRPr="00C64973" w14:paraId="47E17332" w14:textId="77777777" w:rsidTr="00AD3891">
        <w:tc>
          <w:tcPr>
            <w:tcW w:w="2070" w:type="dxa"/>
            <w:tcBorders>
              <w:top w:val="single" w:sz="2" w:space="0" w:color="000000"/>
              <w:left w:val="single" w:sz="2" w:space="0" w:color="000000"/>
              <w:bottom w:val="single" w:sz="2" w:space="0" w:color="000000"/>
              <w:right w:val="single" w:sz="2" w:space="0" w:color="000000"/>
            </w:tcBorders>
            <w:vAlign w:val="bottom"/>
          </w:tcPr>
          <w:p w14:paraId="502BB271" w14:textId="026E6346" w:rsidR="003309AC" w:rsidRPr="00C64973" w:rsidRDefault="00D574E5" w:rsidP="00A1438A">
            <w:pPr>
              <w:spacing w:after="0"/>
              <w:rPr>
                <w:b/>
              </w:rPr>
            </w:pPr>
            <w:r>
              <w:rPr>
                <w:b/>
              </w:rPr>
              <w:t>COMS</w:t>
            </w:r>
          </w:p>
        </w:tc>
        <w:tc>
          <w:tcPr>
            <w:tcW w:w="900" w:type="dxa"/>
            <w:tcBorders>
              <w:top w:val="single" w:sz="2" w:space="0" w:color="000000"/>
              <w:left w:val="single" w:sz="2" w:space="0" w:color="000000"/>
              <w:bottom w:val="single" w:sz="2" w:space="0" w:color="000000"/>
              <w:right w:val="single" w:sz="2" w:space="0" w:color="000000"/>
            </w:tcBorders>
            <w:vAlign w:val="bottom"/>
          </w:tcPr>
          <w:p w14:paraId="37697C2F" w14:textId="0BF477B8" w:rsidR="003309AC" w:rsidRPr="00C64973" w:rsidRDefault="000C1951" w:rsidP="000C1951">
            <w:pPr>
              <w:spacing w:after="0"/>
              <w:jc w:val="center"/>
              <w:rPr>
                <w:rFonts w:cs="Arial"/>
              </w:rPr>
            </w:pPr>
            <w:r w:rsidRPr="00C64973">
              <w:rPr>
                <w:rFonts w:cs="Arial"/>
              </w:rPr>
              <w:t>15</w:t>
            </w:r>
          </w:p>
        </w:tc>
        <w:tc>
          <w:tcPr>
            <w:tcW w:w="1080" w:type="dxa"/>
            <w:tcBorders>
              <w:top w:val="single" w:sz="2" w:space="0" w:color="000000"/>
              <w:left w:val="single" w:sz="2" w:space="0" w:color="000000"/>
              <w:bottom w:val="single" w:sz="2" w:space="0" w:color="000000"/>
              <w:right w:val="single" w:sz="2" w:space="0" w:color="000000"/>
            </w:tcBorders>
            <w:vAlign w:val="bottom"/>
          </w:tcPr>
          <w:p w14:paraId="64CDD676" w14:textId="3CA18DC2" w:rsidR="003309AC" w:rsidRPr="00C64973" w:rsidRDefault="000C1951" w:rsidP="000C1951">
            <w:pPr>
              <w:spacing w:after="0"/>
              <w:jc w:val="center"/>
              <w:rPr>
                <w:rFonts w:cs="Arial"/>
              </w:rPr>
            </w:pPr>
            <w:bookmarkStart w:id="70" w:name="_Toc374001806"/>
            <w:bookmarkStart w:id="71" w:name="_Toc378779014"/>
            <w:bookmarkStart w:id="72" w:name="_Toc378921256"/>
            <w:bookmarkStart w:id="73" w:name="_Toc379264741"/>
            <w:bookmarkEnd w:id="70"/>
            <w:bookmarkEnd w:id="71"/>
            <w:bookmarkEnd w:id="72"/>
            <w:bookmarkEnd w:id="73"/>
            <w:r w:rsidRPr="00C64973">
              <w:rPr>
                <w:rFonts w:cs="Arial"/>
              </w:rPr>
              <w:t>20</w:t>
            </w:r>
          </w:p>
        </w:tc>
        <w:tc>
          <w:tcPr>
            <w:tcW w:w="810" w:type="dxa"/>
            <w:tcBorders>
              <w:top w:val="single" w:sz="2" w:space="0" w:color="000000"/>
              <w:left w:val="single" w:sz="2" w:space="0" w:color="000000"/>
              <w:bottom w:val="single" w:sz="2" w:space="0" w:color="000000"/>
              <w:right w:val="single" w:sz="2" w:space="0" w:color="000000"/>
            </w:tcBorders>
            <w:vAlign w:val="bottom"/>
          </w:tcPr>
          <w:p w14:paraId="47A96055" w14:textId="1CC822FF" w:rsidR="003309AC" w:rsidRPr="00C64973" w:rsidRDefault="000C1951" w:rsidP="000C1951">
            <w:pPr>
              <w:spacing w:after="0"/>
              <w:jc w:val="center"/>
              <w:rPr>
                <w:rFonts w:cs="Arial"/>
              </w:rPr>
            </w:pPr>
            <w:r w:rsidRPr="00C64973">
              <w:rPr>
                <w:rFonts w:cs="Arial"/>
              </w:rPr>
              <w:t>26</w:t>
            </w:r>
          </w:p>
        </w:tc>
      </w:tr>
      <w:tr w:rsidR="003309AC" w:rsidRPr="00C64973" w14:paraId="1A8FB4C0" w14:textId="77777777" w:rsidTr="00AD3891">
        <w:tc>
          <w:tcPr>
            <w:tcW w:w="2070" w:type="dxa"/>
            <w:tcBorders>
              <w:top w:val="single" w:sz="2" w:space="0" w:color="000000"/>
              <w:left w:val="single" w:sz="2" w:space="0" w:color="000000"/>
              <w:bottom w:val="single" w:sz="2" w:space="0" w:color="000000"/>
              <w:right w:val="single" w:sz="2" w:space="0" w:color="000000"/>
            </w:tcBorders>
            <w:vAlign w:val="bottom"/>
          </w:tcPr>
          <w:p w14:paraId="2F0D2898" w14:textId="77777777" w:rsidR="003309AC" w:rsidRPr="00C64973" w:rsidRDefault="003309AC" w:rsidP="00A1438A">
            <w:pPr>
              <w:spacing w:after="0"/>
              <w:rPr>
                <w:b/>
              </w:rPr>
            </w:pPr>
            <w:r w:rsidRPr="00C64973">
              <w:rPr>
                <w:b/>
              </w:rPr>
              <w:t>Dually certified</w:t>
            </w:r>
          </w:p>
        </w:tc>
        <w:tc>
          <w:tcPr>
            <w:tcW w:w="900" w:type="dxa"/>
            <w:tcBorders>
              <w:top w:val="single" w:sz="2" w:space="0" w:color="000000"/>
              <w:left w:val="single" w:sz="2" w:space="0" w:color="000000"/>
              <w:bottom w:val="single" w:sz="2" w:space="0" w:color="000000"/>
              <w:right w:val="single" w:sz="2" w:space="0" w:color="000000"/>
            </w:tcBorders>
            <w:vAlign w:val="bottom"/>
          </w:tcPr>
          <w:p w14:paraId="26DB2A7C" w14:textId="44F34A1B" w:rsidR="003309AC" w:rsidRPr="00C64973" w:rsidRDefault="00AD3891" w:rsidP="000C1951">
            <w:pPr>
              <w:spacing w:after="0"/>
              <w:jc w:val="center"/>
              <w:rPr>
                <w:rFonts w:cs="Arial"/>
              </w:rPr>
            </w:pPr>
            <w:r w:rsidRPr="00C64973">
              <w:rPr>
                <w:rFonts w:cs="Arial"/>
              </w:rPr>
              <w:t>1</w:t>
            </w:r>
          </w:p>
        </w:tc>
        <w:tc>
          <w:tcPr>
            <w:tcW w:w="1080" w:type="dxa"/>
            <w:tcBorders>
              <w:top w:val="single" w:sz="2" w:space="0" w:color="000000"/>
              <w:left w:val="single" w:sz="2" w:space="0" w:color="000000"/>
              <w:bottom w:val="single" w:sz="2" w:space="0" w:color="000000"/>
              <w:right w:val="single" w:sz="2" w:space="0" w:color="000000"/>
            </w:tcBorders>
            <w:vAlign w:val="bottom"/>
          </w:tcPr>
          <w:p w14:paraId="40F993AA" w14:textId="446ED3DC" w:rsidR="003309AC" w:rsidRPr="00C64973" w:rsidRDefault="000C1951" w:rsidP="000C1951">
            <w:pPr>
              <w:spacing w:after="0"/>
              <w:jc w:val="center"/>
              <w:rPr>
                <w:rFonts w:cs="Arial"/>
              </w:rPr>
            </w:pPr>
            <w:r w:rsidRPr="00C64973">
              <w:rPr>
                <w:rFonts w:cs="Arial"/>
              </w:rPr>
              <w:t>0</w:t>
            </w:r>
          </w:p>
        </w:tc>
        <w:tc>
          <w:tcPr>
            <w:tcW w:w="810" w:type="dxa"/>
            <w:tcBorders>
              <w:top w:val="single" w:sz="2" w:space="0" w:color="000000"/>
              <w:left w:val="single" w:sz="2" w:space="0" w:color="000000"/>
              <w:bottom w:val="single" w:sz="4" w:space="0" w:color="auto"/>
              <w:right w:val="single" w:sz="2" w:space="0" w:color="000000"/>
            </w:tcBorders>
          </w:tcPr>
          <w:p w14:paraId="41A2B893" w14:textId="6AC287E5" w:rsidR="003309AC" w:rsidRPr="00C64973" w:rsidRDefault="000C1951" w:rsidP="000C1951">
            <w:pPr>
              <w:spacing w:after="0"/>
              <w:jc w:val="center"/>
              <w:rPr>
                <w:rFonts w:cs="Arial"/>
              </w:rPr>
            </w:pPr>
            <w:r w:rsidRPr="00C64973">
              <w:rPr>
                <w:rFonts w:cs="Arial"/>
              </w:rPr>
              <w:t>0</w:t>
            </w:r>
          </w:p>
        </w:tc>
      </w:tr>
      <w:tr w:rsidR="003309AC" w:rsidRPr="00C64973" w14:paraId="2EA04D18" w14:textId="77777777" w:rsidTr="00AD3891">
        <w:tc>
          <w:tcPr>
            <w:tcW w:w="2070" w:type="dxa"/>
            <w:tcBorders>
              <w:top w:val="single" w:sz="2" w:space="0" w:color="000000"/>
              <w:left w:val="single" w:sz="2" w:space="0" w:color="000000"/>
              <w:bottom w:val="single" w:sz="2" w:space="0" w:color="000000"/>
              <w:right w:val="single" w:sz="2" w:space="0" w:color="000000"/>
            </w:tcBorders>
            <w:vAlign w:val="bottom"/>
          </w:tcPr>
          <w:p w14:paraId="1615D8F5" w14:textId="77777777" w:rsidR="003309AC" w:rsidRPr="00C64973" w:rsidRDefault="003309AC" w:rsidP="00A1438A">
            <w:pPr>
              <w:spacing w:after="0"/>
              <w:rPr>
                <w:b/>
              </w:rPr>
            </w:pPr>
            <w:r w:rsidRPr="00C64973">
              <w:rPr>
                <w:b/>
                <w:bCs/>
              </w:rPr>
              <w:t>Total</w:t>
            </w:r>
          </w:p>
        </w:tc>
        <w:tc>
          <w:tcPr>
            <w:tcW w:w="900" w:type="dxa"/>
            <w:tcBorders>
              <w:top w:val="single" w:sz="2" w:space="0" w:color="000000"/>
              <w:left w:val="single" w:sz="2" w:space="0" w:color="000000"/>
              <w:bottom w:val="single" w:sz="2" w:space="0" w:color="000000"/>
              <w:right w:val="single" w:sz="2" w:space="0" w:color="000000"/>
            </w:tcBorders>
            <w:vAlign w:val="bottom"/>
          </w:tcPr>
          <w:p w14:paraId="5F30F31D" w14:textId="43E44863" w:rsidR="003309AC" w:rsidRPr="00C64973" w:rsidRDefault="000C1951" w:rsidP="000C1951">
            <w:pPr>
              <w:spacing w:after="0"/>
              <w:jc w:val="center"/>
              <w:rPr>
                <w:rFonts w:cs="Arial"/>
                <w:b/>
              </w:rPr>
            </w:pPr>
            <w:r w:rsidRPr="00C64973">
              <w:rPr>
                <w:rFonts w:cs="Arial"/>
                <w:b/>
              </w:rPr>
              <w:t>50</w:t>
            </w:r>
          </w:p>
        </w:tc>
        <w:tc>
          <w:tcPr>
            <w:tcW w:w="1080" w:type="dxa"/>
            <w:tcBorders>
              <w:top w:val="single" w:sz="2" w:space="0" w:color="000000"/>
              <w:left w:val="single" w:sz="2" w:space="0" w:color="000000"/>
              <w:bottom w:val="single" w:sz="2" w:space="0" w:color="000000"/>
              <w:right w:val="single" w:sz="2" w:space="0" w:color="000000"/>
            </w:tcBorders>
            <w:vAlign w:val="bottom"/>
          </w:tcPr>
          <w:p w14:paraId="73EB7DA4" w14:textId="27B9E2E5" w:rsidR="003309AC" w:rsidRPr="00C64973" w:rsidRDefault="000C1951" w:rsidP="000C1951">
            <w:pPr>
              <w:spacing w:after="0"/>
              <w:jc w:val="center"/>
              <w:rPr>
                <w:rFonts w:cs="Arial"/>
                <w:b/>
              </w:rPr>
            </w:pPr>
            <w:r w:rsidRPr="00C64973">
              <w:rPr>
                <w:rFonts w:cs="Arial"/>
                <w:b/>
              </w:rPr>
              <w:t>55</w:t>
            </w:r>
          </w:p>
        </w:tc>
        <w:tc>
          <w:tcPr>
            <w:tcW w:w="810" w:type="dxa"/>
            <w:tcBorders>
              <w:top w:val="single" w:sz="4" w:space="0" w:color="auto"/>
              <w:left w:val="single" w:sz="2" w:space="0" w:color="000000"/>
              <w:bottom w:val="single" w:sz="2" w:space="0" w:color="000000"/>
              <w:right w:val="single" w:sz="2" w:space="0" w:color="000000"/>
            </w:tcBorders>
            <w:vAlign w:val="bottom"/>
          </w:tcPr>
          <w:p w14:paraId="2C40022D" w14:textId="2142385F" w:rsidR="003309AC" w:rsidRPr="00C64973" w:rsidRDefault="000C1951" w:rsidP="000C1951">
            <w:pPr>
              <w:spacing w:after="0"/>
              <w:jc w:val="center"/>
              <w:rPr>
                <w:rFonts w:cs="Arial"/>
                <w:b/>
              </w:rPr>
            </w:pPr>
            <w:r w:rsidRPr="00C64973">
              <w:rPr>
                <w:rFonts w:cs="Arial"/>
                <w:b/>
              </w:rPr>
              <w:t>70</w:t>
            </w:r>
          </w:p>
        </w:tc>
      </w:tr>
    </w:tbl>
    <w:p w14:paraId="0A814785" w14:textId="77C618E5" w:rsidR="00AD5E8A" w:rsidRPr="00C64973" w:rsidRDefault="00AD5E8A" w:rsidP="002B5A09">
      <w:pPr>
        <w:rPr>
          <w:b/>
        </w:rPr>
      </w:pPr>
    </w:p>
    <w:p w14:paraId="35877D34" w14:textId="389D6D92" w:rsidR="003309AC" w:rsidRPr="00C64973" w:rsidRDefault="003309AC" w:rsidP="002B5A09">
      <w:pPr>
        <w:rPr>
          <w:b/>
        </w:rPr>
      </w:pPr>
      <w:r w:rsidRPr="00C64973">
        <w:rPr>
          <w:b/>
        </w:rPr>
        <w:t>Asian</w:t>
      </w:r>
      <w:r w:rsidR="007E7A09" w:rsidRPr="00C64973">
        <w:rPr>
          <w:b/>
        </w:rPr>
        <w:t>-American</w:t>
      </w:r>
      <w:r w:rsidRPr="00C64973">
        <w:rPr>
          <w:b/>
        </w:rPr>
        <w:t xml:space="preserve"> VI Professionals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990"/>
        <w:gridCol w:w="990"/>
        <w:gridCol w:w="810"/>
      </w:tblGrid>
      <w:tr w:rsidR="003A24D7" w:rsidRPr="00C64973" w14:paraId="5F5E8778" w14:textId="77777777" w:rsidTr="003E27E5">
        <w:trPr>
          <w:cantSplit/>
          <w:tblHeader/>
        </w:trPr>
        <w:tc>
          <w:tcPr>
            <w:tcW w:w="2070" w:type="dxa"/>
            <w:tcBorders>
              <w:top w:val="nil"/>
              <w:left w:val="nil"/>
              <w:bottom w:val="single" w:sz="2" w:space="0" w:color="000000"/>
              <w:right w:val="nil"/>
            </w:tcBorders>
          </w:tcPr>
          <w:p w14:paraId="7F999BF9" w14:textId="77777777" w:rsidR="003A24D7" w:rsidRPr="00C64973" w:rsidRDefault="003A24D7" w:rsidP="00A1438A">
            <w:pPr>
              <w:spacing w:after="0"/>
              <w:rPr>
                <w:b/>
                <w:szCs w:val="26"/>
              </w:rPr>
            </w:pPr>
          </w:p>
        </w:tc>
        <w:tc>
          <w:tcPr>
            <w:tcW w:w="990" w:type="dxa"/>
            <w:tcBorders>
              <w:top w:val="nil"/>
              <w:left w:val="nil"/>
              <w:bottom w:val="single" w:sz="2" w:space="0" w:color="000000"/>
              <w:right w:val="nil"/>
            </w:tcBorders>
          </w:tcPr>
          <w:p w14:paraId="4301947F" w14:textId="113A8414" w:rsidR="003A24D7" w:rsidRPr="00C64973" w:rsidRDefault="000C1951" w:rsidP="00A1438A">
            <w:pPr>
              <w:spacing w:after="0"/>
              <w:rPr>
                <w:b/>
                <w:szCs w:val="26"/>
              </w:rPr>
            </w:pPr>
            <w:r w:rsidRPr="00C64973">
              <w:rPr>
                <w:b/>
                <w:szCs w:val="26"/>
              </w:rPr>
              <w:t>2018</w:t>
            </w:r>
          </w:p>
        </w:tc>
        <w:tc>
          <w:tcPr>
            <w:tcW w:w="990" w:type="dxa"/>
            <w:tcBorders>
              <w:top w:val="nil"/>
              <w:left w:val="nil"/>
              <w:bottom w:val="single" w:sz="2" w:space="0" w:color="000000"/>
              <w:right w:val="nil"/>
            </w:tcBorders>
          </w:tcPr>
          <w:p w14:paraId="2EAA9B7D" w14:textId="2E9E4628" w:rsidR="003A24D7" w:rsidRPr="00C64973" w:rsidRDefault="000C1951" w:rsidP="00A1438A">
            <w:pPr>
              <w:spacing w:after="0"/>
              <w:rPr>
                <w:b/>
                <w:szCs w:val="26"/>
              </w:rPr>
            </w:pPr>
            <w:r w:rsidRPr="00C64973">
              <w:rPr>
                <w:b/>
                <w:szCs w:val="26"/>
              </w:rPr>
              <w:t>2019</w:t>
            </w:r>
          </w:p>
        </w:tc>
        <w:tc>
          <w:tcPr>
            <w:tcW w:w="810" w:type="dxa"/>
            <w:tcBorders>
              <w:top w:val="nil"/>
              <w:left w:val="nil"/>
              <w:bottom w:val="single" w:sz="2" w:space="0" w:color="000000"/>
              <w:right w:val="nil"/>
            </w:tcBorders>
            <w:vAlign w:val="bottom"/>
          </w:tcPr>
          <w:p w14:paraId="621BCB99" w14:textId="1B256C99" w:rsidR="003A24D7" w:rsidRPr="00C64973" w:rsidRDefault="000C1951" w:rsidP="00A1438A">
            <w:pPr>
              <w:spacing w:after="0"/>
              <w:rPr>
                <w:b/>
                <w:szCs w:val="26"/>
              </w:rPr>
            </w:pPr>
            <w:r w:rsidRPr="00C64973">
              <w:rPr>
                <w:b/>
                <w:szCs w:val="26"/>
              </w:rPr>
              <w:t>2020</w:t>
            </w:r>
          </w:p>
        </w:tc>
      </w:tr>
      <w:tr w:rsidR="003A24D7" w:rsidRPr="00C64973" w14:paraId="47113EBC" w14:textId="77777777" w:rsidTr="006D45AE">
        <w:tc>
          <w:tcPr>
            <w:tcW w:w="2070" w:type="dxa"/>
            <w:tcBorders>
              <w:top w:val="single" w:sz="2" w:space="0" w:color="000000"/>
              <w:left w:val="single" w:sz="2" w:space="0" w:color="000000"/>
              <w:bottom w:val="single" w:sz="2" w:space="0" w:color="000000"/>
              <w:right w:val="single" w:sz="2" w:space="0" w:color="000000"/>
            </w:tcBorders>
            <w:vAlign w:val="bottom"/>
          </w:tcPr>
          <w:p w14:paraId="6EB79E23" w14:textId="2BFEA57D" w:rsidR="003A24D7" w:rsidRPr="00C64973" w:rsidRDefault="00723F4D" w:rsidP="00A1438A">
            <w:pPr>
              <w:spacing w:after="0"/>
              <w:rPr>
                <w:b/>
              </w:rPr>
            </w:pPr>
            <w:r w:rsidRPr="00C64973">
              <w:rPr>
                <w:b/>
              </w:rPr>
              <w:t>TVI</w:t>
            </w:r>
            <w:r w:rsidR="003A24D7" w:rsidRPr="00C64973">
              <w:rPr>
                <w:b/>
              </w:rPr>
              <w:t>s</w:t>
            </w:r>
          </w:p>
        </w:tc>
        <w:tc>
          <w:tcPr>
            <w:tcW w:w="990" w:type="dxa"/>
            <w:tcBorders>
              <w:top w:val="single" w:sz="2" w:space="0" w:color="000000"/>
              <w:left w:val="single" w:sz="2" w:space="0" w:color="000000"/>
              <w:bottom w:val="single" w:sz="2" w:space="0" w:color="000000"/>
              <w:right w:val="single" w:sz="2" w:space="0" w:color="000000"/>
            </w:tcBorders>
            <w:vAlign w:val="bottom"/>
          </w:tcPr>
          <w:p w14:paraId="153A9E8D" w14:textId="1709AD8C" w:rsidR="003A24D7" w:rsidRPr="00C64973" w:rsidRDefault="006D45AE" w:rsidP="000C1951">
            <w:pPr>
              <w:spacing w:after="0"/>
              <w:jc w:val="center"/>
              <w:rPr>
                <w:rFonts w:cs="Arial"/>
              </w:rPr>
            </w:pPr>
            <w:r w:rsidRPr="00C64973">
              <w:rPr>
                <w:rFonts w:cs="Arial"/>
              </w:rPr>
              <w:t>6</w:t>
            </w:r>
          </w:p>
        </w:tc>
        <w:tc>
          <w:tcPr>
            <w:tcW w:w="990" w:type="dxa"/>
            <w:tcBorders>
              <w:top w:val="single" w:sz="2" w:space="0" w:color="000000"/>
              <w:left w:val="single" w:sz="2" w:space="0" w:color="000000"/>
              <w:bottom w:val="single" w:sz="2" w:space="0" w:color="000000"/>
              <w:right w:val="single" w:sz="2" w:space="0" w:color="000000"/>
            </w:tcBorders>
            <w:vAlign w:val="center"/>
          </w:tcPr>
          <w:p w14:paraId="04E14830" w14:textId="69538622" w:rsidR="003A24D7" w:rsidRPr="00C64973" w:rsidRDefault="000C1951" w:rsidP="000C1951">
            <w:pPr>
              <w:spacing w:after="0"/>
              <w:jc w:val="center"/>
              <w:rPr>
                <w:rFonts w:cs="Arial"/>
              </w:rPr>
            </w:pPr>
            <w:r w:rsidRPr="00C64973">
              <w:rPr>
                <w:rFonts w:cs="Arial"/>
              </w:rPr>
              <w:t>8</w:t>
            </w:r>
          </w:p>
        </w:tc>
        <w:tc>
          <w:tcPr>
            <w:tcW w:w="810" w:type="dxa"/>
            <w:tcBorders>
              <w:top w:val="single" w:sz="2" w:space="0" w:color="000000"/>
              <w:left w:val="single" w:sz="2" w:space="0" w:color="000000"/>
              <w:bottom w:val="single" w:sz="2" w:space="0" w:color="000000"/>
              <w:right w:val="single" w:sz="2" w:space="0" w:color="000000"/>
            </w:tcBorders>
            <w:vAlign w:val="bottom"/>
          </w:tcPr>
          <w:p w14:paraId="519B1F6B" w14:textId="444DC1FC" w:rsidR="003A24D7" w:rsidRPr="00C64973" w:rsidRDefault="000C1951" w:rsidP="000C1951">
            <w:pPr>
              <w:spacing w:after="0"/>
              <w:jc w:val="center"/>
              <w:rPr>
                <w:rFonts w:cs="Arial"/>
              </w:rPr>
            </w:pPr>
            <w:r w:rsidRPr="00C64973">
              <w:rPr>
                <w:rFonts w:cs="Arial"/>
              </w:rPr>
              <w:t>7</w:t>
            </w:r>
          </w:p>
        </w:tc>
      </w:tr>
      <w:tr w:rsidR="003A24D7" w:rsidRPr="00C64973" w14:paraId="43109AD0" w14:textId="77777777" w:rsidTr="006D45AE">
        <w:tc>
          <w:tcPr>
            <w:tcW w:w="2070" w:type="dxa"/>
            <w:tcBorders>
              <w:top w:val="single" w:sz="2" w:space="0" w:color="000000"/>
              <w:left w:val="single" w:sz="2" w:space="0" w:color="000000"/>
              <w:bottom w:val="single" w:sz="2" w:space="0" w:color="000000"/>
              <w:right w:val="single" w:sz="2" w:space="0" w:color="000000"/>
            </w:tcBorders>
            <w:vAlign w:val="bottom"/>
          </w:tcPr>
          <w:p w14:paraId="5BCAAE41" w14:textId="320DCE2C" w:rsidR="003A24D7" w:rsidRPr="00C64973" w:rsidRDefault="00D574E5" w:rsidP="00A1438A">
            <w:pPr>
              <w:spacing w:after="0"/>
              <w:rPr>
                <w:b/>
              </w:rPr>
            </w:pPr>
            <w:r>
              <w:rPr>
                <w:b/>
              </w:rPr>
              <w:t>COMS</w:t>
            </w:r>
          </w:p>
        </w:tc>
        <w:tc>
          <w:tcPr>
            <w:tcW w:w="990" w:type="dxa"/>
            <w:tcBorders>
              <w:top w:val="single" w:sz="2" w:space="0" w:color="000000"/>
              <w:left w:val="single" w:sz="2" w:space="0" w:color="000000"/>
              <w:bottom w:val="single" w:sz="2" w:space="0" w:color="000000"/>
              <w:right w:val="single" w:sz="2" w:space="0" w:color="000000"/>
            </w:tcBorders>
            <w:vAlign w:val="bottom"/>
          </w:tcPr>
          <w:p w14:paraId="098BCBF5" w14:textId="7617AF25" w:rsidR="003A24D7" w:rsidRPr="00C64973" w:rsidRDefault="000C1951" w:rsidP="000C1951">
            <w:pPr>
              <w:spacing w:after="0"/>
              <w:jc w:val="center"/>
              <w:rPr>
                <w:rFonts w:cs="Arial"/>
              </w:rPr>
            </w:pPr>
            <w:r w:rsidRPr="00C64973">
              <w:rPr>
                <w:rFonts w:cs="Arial"/>
              </w:rPr>
              <w:t>3</w:t>
            </w:r>
          </w:p>
        </w:tc>
        <w:tc>
          <w:tcPr>
            <w:tcW w:w="990" w:type="dxa"/>
            <w:tcBorders>
              <w:top w:val="single" w:sz="2" w:space="0" w:color="000000"/>
              <w:left w:val="single" w:sz="2" w:space="0" w:color="000000"/>
              <w:bottom w:val="single" w:sz="2" w:space="0" w:color="000000"/>
              <w:right w:val="single" w:sz="2" w:space="0" w:color="000000"/>
            </w:tcBorders>
            <w:vAlign w:val="center"/>
          </w:tcPr>
          <w:p w14:paraId="531C2F66" w14:textId="05A70D0A" w:rsidR="003A24D7" w:rsidRPr="00C64973" w:rsidRDefault="000C1951" w:rsidP="000C1951">
            <w:pPr>
              <w:spacing w:after="0"/>
              <w:jc w:val="center"/>
              <w:rPr>
                <w:rFonts w:cs="Arial"/>
              </w:rPr>
            </w:pPr>
            <w:r w:rsidRPr="00C64973">
              <w:rPr>
                <w:rFonts w:cs="Arial"/>
              </w:rPr>
              <w:t>5</w:t>
            </w:r>
          </w:p>
        </w:tc>
        <w:tc>
          <w:tcPr>
            <w:tcW w:w="810" w:type="dxa"/>
            <w:tcBorders>
              <w:top w:val="single" w:sz="2" w:space="0" w:color="000000"/>
              <w:left w:val="single" w:sz="2" w:space="0" w:color="000000"/>
              <w:bottom w:val="single" w:sz="2" w:space="0" w:color="000000"/>
              <w:right w:val="single" w:sz="2" w:space="0" w:color="000000"/>
            </w:tcBorders>
            <w:vAlign w:val="bottom"/>
          </w:tcPr>
          <w:p w14:paraId="7B533B23" w14:textId="74ABF000" w:rsidR="003A24D7" w:rsidRPr="00C64973" w:rsidRDefault="000C1951" w:rsidP="000C1951">
            <w:pPr>
              <w:spacing w:after="0"/>
              <w:jc w:val="center"/>
              <w:rPr>
                <w:rFonts w:cs="Arial"/>
              </w:rPr>
            </w:pPr>
            <w:r w:rsidRPr="00C64973">
              <w:rPr>
                <w:rFonts w:cs="Arial"/>
              </w:rPr>
              <w:t>4</w:t>
            </w:r>
          </w:p>
        </w:tc>
      </w:tr>
      <w:tr w:rsidR="003A24D7" w:rsidRPr="00C64973" w14:paraId="51C72D37" w14:textId="77777777" w:rsidTr="006D45AE">
        <w:tc>
          <w:tcPr>
            <w:tcW w:w="2070" w:type="dxa"/>
            <w:tcBorders>
              <w:top w:val="single" w:sz="2" w:space="0" w:color="000000"/>
              <w:left w:val="single" w:sz="2" w:space="0" w:color="000000"/>
              <w:bottom w:val="single" w:sz="2" w:space="0" w:color="000000"/>
              <w:right w:val="single" w:sz="2" w:space="0" w:color="000000"/>
            </w:tcBorders>
            <w:vAlign w:val="bottom"/>
          </w:tcPr>
          <w:p w14:paraId="4F851F44" w14:textId="77777777" w:rsidR="003A24D7" w:rsidRPr="00C64973" w:rsidRDefault="003A24D7" w:rsidP="00A1438A">
            <w:pPr>
              <w:spacing w:after="0"/>
              <w:rPr>
                <w:b/>
              </w:rPr>
            </w:pPr>
            <w:r w:rsidRPr="00C64973">
              <w:rPr>
                <w:b/>
              </w:rPr>
              <w:t>Dually certified</w:t>
            </w:r>
          </w:p>
        </w:tc>
        <w:tc>
          <w:tcPr>
            <w:tcW w:w="990" w:type="dxa"/>
            <w:tcBorders>
              <w:top w:val="single" w:sz="2" w:space="0" w:color="000000"/>
              <w:left w:val="single" w:sz="2" w:space="0" w:color="000000"/>
              <w:bottom w:val="single" w:sz="2" w:space="0" w:color="000000"/>
              <w:right w:val="single" w:sz="2" w:space="0" w:color="000000"/>
            </w:tcBorders>
            <w:vAlign w:val="bottom"/>
          </w:tcPr>
          <w:p w14:paraId="410D55A2" w14:textId="0323391F" w:rsidR="003A24D7" w:rsidRPr="00C64973" w:rsidRDefault="006D45AE" w:rsidP="000C1951">
            <w:pPr>
              <w:spacing w:after="0"/>
              <w:jc w:val="center"/>
              <w:rPr>
                <w:rFonts w:cs="Arial"/>
              </w:rPr>
            </w:pPr>
            <w:bookmarkStart w:id="74" w:name="_Toc374001811"/>
            <w:bookmarkStart w:id="75" w:name="_Toc378779019"/>
            <w:bookmarkStart w:id="76" w:name="_Toc378921261"/>
            <w:bookmarkStart w:id="77" w:name="_Toc379264746"/>
            <w:bookmarkEnd w:id="74"/>
            <w:bookmarkEnd w:id="75"/>
            <w:bookmarkEnd w:id="76"/>
            <w:bookmarkEnd w:id="77"/>
            <w:r w:rsidRPr="00C64973">
              <w:rPr>
                <w:rFonts w:cs="Arial"/>
              </w:rPr>
              <w:t>0</w:t>
            </w:r>
          </w:p>
        </w:tc>
        <w:tc>
          <w:tcPr>
            <w:tcW w:w="990" w:type="dxa"/>
            <w:tcBorders>
              <w:top w:val="single" w:sz="2" w:space="0" w:color="000000"/>
              <w:left w:val="single" w:sz="2" w:space="0" w:color="000000"/>
              <w:bottom w:val="single" w:sz="2" w:space="0" w:color="000000"/>
              <w:right w:val="single" w:sz="2" w:space="0" w:color="000000"/>
            </w:tcBorders>
            <w:vAlign w:val="center"/>
          </w:tcPr>
          <w:p w14:paraId="379B1134" w14:textId="79531D52" w:rsidR="003A24D7" w:rsidRPr="00C64973" w:rsidRDefault="00AF07D0" w:rsidP="000C1951">
            <w:pPr>
              <w:spacing w:after="0"/>
              <w:jc w:val="center"/>
              <w:rPr>
                <w:rFonts w:cs="Arial"/>
              </w:rPr>
            </w:pPr>
            <w:r w:rsidRPr="00C64973">
              <w:rPr>
                <w:rFonts w:cs="Arial"/>
              </w:rPr>
              <w:t>0</w:t>
            </w:r>
          </w:p>
        </w:tc>
        <w:tc>
          <w:tcPr>
            <w:tcW w:w="810" w:type="dxa"/>
            <w:tcBorders>
              <w:top w:val="single" w:sz="2" w:space="0" w:color="000000"/>
              <w:left w:val="single" w:sz="2" w:space="0" w:color="000000"/>
              <w:bottom w:val="single" w:sz="2" w:space="0" w:color="000000"/>
              <w:right w:val="single" w:sz="2" w:space="0" w:color="000000"/>
            </w:tcBorders>
            <w:vAlign w:val="bottom"/>
          </w:tcPr>
          <w:p w14:paraId="52EFBA34" w14:textId="0498C270" w:rsidR="003A24D7" w:rsidRPr="00C64973" w:rsidRDefault="000C1951" w:rsidP="000C1951">
            <w:pPr>
              <w:spacing w:after="0"/>
              <w:jc w:val="center"/>
              <w:rPr>
                <w:rFonts w:cs="Arial"/>
              </w:rPr>
            </w:pPr>
            <w:r w:rsidRPr="00C64973">
              <w:rPr>
                <w:rFonts w:cs="Arial"/>
              </w:rPr>
              <w:t>0</w:t>
            </w:r>
          </w:p>
        </w:tc>
      </w:tr>
      <w:tr w:rsidR="003A24D7" w:rsidRPr="00C64973" w14:paraId="689AFCF7" w14:textId="77777777" w:rsidTr="006D45AE">
        <w:tc>
          <w:tcPr>
            <w:tcW w:w="2070" w:type="dxa"/>
            <w:tcBorders>
              <w:top w:val="single" w:sz="2" w:space="0" w:color="000000"/>
              <w:left w:val="single" w:sz="2" w:space="0" w:color="000000"/>
              <w:bottom w:val="single" w:sz="2" w:space="0" w:color="000000"/>
              <w:right w:val="single" w:sz="2" w:space="0" w:color="000000"/>
            </w:tcBorders>
            <w:vAlign w:val="bottom"/>
          </w:tcPr>
          <w:p w14:paraId="663D0C95" w14:textId="77777777" w:rsidR="003A24D7" w:rsidRPr="00C64973" w:rsidRDefault="003A24D7" w:rsidP="00A1438A">
            <w:pPr>
              <w:spacing w:after="0"/>
              <w:rPr>
                <w:b/>
              </w:rPr>
            </w:pPr>
            <w:r w:rsidRPr="00C64973">
              <w:rPr>
                <w:b/>
                <w:bCs/>
              </w:rPr>
              <w:t>Total</w:t>
            </w:r>
          </w:p>
        </w:tc>
        <w:tc>
          <w:tcPr>
            <w:tcW w:w="990" w:type="dxa"/>
            <w:tcBorders>
              <w:top w:val="single" w:sz="2" w:space="0" w:color="000000"/>
              <w:left w:val="single" w:sz="2" w:space="0" w:color="000000"/>
              <w:bottom w:val="single" w:sz="2" w:space="0" w:color="000000"/>
              <w:right w:val="single" w:sz="2" w:space="0" w:color="000000"/>
            </w:tcBorders>
            <w:vAlign w:val="bottom"/>
          </w:tcPr>
          <w:p w14:paraId="4F189B80" w14:textId="7367FF9A" w:rsidR="003A24D7" w:rsidRPr="00C64973" w:rsidRDefault="000C1951" w:rsidP="000C1951">
            <w:pPr>
              <w:spacing w:after="0"/>
              <w:jc w:val="center"/>
              <w:rPr>
                <w:rFonts w:cs="Arial"/>
                <w:b/>
              </w:rPr>
            </w:pPr>
            <w:r w:rsidRPr="00C64973">
              <w:rPr>
                <w:rFonts w:cs="Arial"/>
                <w:b/>
              </w:rPr>
              <w:t>9</w:t>
            </w:r>
          </w:p>
        </w:tc>
        <w:tc>
          <w:tcPr>
            <w:tcW w:w="990" w:type="dxa"/>
            <w:tcBorders>
              <w:top w:val="single" w:sz="2" w:space="0" w:color="000000"/>
              <w:left w:val="single" w:sz="2" w:space="0" w:color="000000"/>
              <w:bottom w:val="single" w:sz="2" w:space="0" w:color="000000"/>
              <w:right w:val="single" w:sz="2" w:space="0" w:color="000000"/>
            </w:tcBorders>
            <w:vAlign w:val="center"/>
          </w:tcPr>
          <w:p w14:paraId="7E126280" w14:textId="77C5AAA2" w:rsidR="003A24D7" w:rsidRPr="00C64973" w:rsidRDefault="000C1951" w:rsidP="000C1951">
            <w:pPr>
              <w:spacing w:after="0"/>
              <w:jc w:val="center"/>
              <w:rPr>
                <w:rFonts w:cs="Arial"/>
                <w:b/>
              </w:rPr>
            </w:pPr>
            <w:r w:rsidRPr="00C64973">
              <w:rPr>
                <w:rFonts w:cs="Arial"/>
                <w:b/>
              </w:rPr>
              <w:t>13</w:t>
            </w:r>
          </w:p>
        </w:tc>
        <w:tc>
          <w:tcPr>
            <w:tcW w:w="810" w:type="dxa"/>
            <w:tcBorders>
              <w:top w:val="single" w:sz="2" w:space="0" w:color="000000"/>
              <w:left w:val="single" w:sz="2" w:space="0" w:color="000000"/>
              <w:bottom w:val="single" w:sz="2" w:space="0" w:color="000000"/>
              <w:right w:val="single" w:sz="2" w:space="0" w:color="000000"/>
            </w:tcBorders>
            <w:vAlign w:val="bottom"/>
          </w:tcPr>
          <w:p w14:paraId="2259C303" w14:textId="752FF412" w:rsidR="003A24D7" w:rsidRPr="00C64973" w:rsidRDefault="000C1951" w:rsidP="000C1951">
            <w:pPr>
              <w:spacing w:after="0"/>
              <w:jc w:val="center"/>
              <w:rPr>
                <w:rFonts w:cs="Arial"/>
                <w:b/>
              </w:rPr>
            </w:pPr>
            <w:r w:rsidRPr="00C64973">
              <w:rPr>
                <w:rFonts w:cs="Arial"/>
                <w:b/>
              </w:rPr>
              <w:t>11</w:t>
            </w:r>
          </w:p>
        </w:tc>
      </w:tr>
    </w:tbl>
    <w:p w14:paraId="60B5D09B" w14:textId="77777777" w:rsidR="00AD5E8A" w:rsidRPr="00C64973" w:rsidRDefault="00AD5E8A" w:rsidP="002B5A09">
      <w:pPr>
        <w:sectPr w:rsidR="00AD5E8A" w:rsidRPr="00C64973" w:rsidSect="00AD5E8A">
          <w:endnotePr>
            <w:numFmt w:val="decimal"/>
          </w:endnotePr>
          <w:type w:val="continuous"/>
          <w:pgSz w:w="12240" w:h="15840"/>
          <w:pgMar w:top="1152" w:right="1080" w:bottom="1152" w:left="1080" w:header="144" w:footer="234" w:gutter="0"/>
          <w:pgNumType w:start="1"/>
          <w:cols w:num="2" w:space="720"/>
          <w:docGrid w:linePitch="326"/>
        </w:sectPr>
      </w:pPr>
    </w:p>
    <w:p w14:paraId="03003515" w14:textId="44142E15" w:rsidR="002B5A09" w:rsidRPr="00C64973" w:rsidRDefault="006632C7" w:rsidP="002B5A09">
      <w:r w:rsidRPr="00C64973">
        <w:t>This</w:t>
      </w:r>
      <w:r w:rsidR="00B01DAB" w:rsidRPr="00C64973">
        <w:t xml:space="preserve"> year there was not a large shift</w:t>
      </w:r>
      <w:r w:rsidR="0091642A" w:rsidRPr="00C64973">
        <w:t xml:space="preserve"> in </w:t>
      </w:r>
      <w:r w:rsidR="00DF094B" w:rsidRPr="00C64973">
        <w:t xml:space="preserve">the </w:t>
      </w:r>
      <w:r w:rsidR="00114411">
        <w:t xml:space="preserve">overall </w:t>
      </w:r>
      <w:r w:rsidR="002D6B1E" w:rsidRPr="00C64973">
        <w:t>diversity of VI professionals in Texas</w:t>
      </w:r>
      <w:r w:rsidR="00B83F63" w:rsidRPr="00C64973">
        <w:t>.</w:t>
      </w:r>
      <w:r w:rsidR="00573C61" w:rsidRPr="00C64973">
        <w:t xml:space="preserve"> </w:t>
      </w:r>
      <w:r w:rsidR="002D5671" w:rsidRPr="00C64973">
        <w:t xml:space="preserve">Looking at </w:t>
      </w:r>
      <w:r w:rsidR="00852EBA" w:rsidRPr="00C64973">
        <w:t>specific categories</w:t>
      </w:r>
      <w:r w:rsidR="006E1C86" w:rsidRPr="00C64973">
        <w:t>,</w:t>
      </w:r>
      <w:r w:rsidR="00852EBA" w:rsidRPr="00C64973">
        <w:t xml:space="preserve"> </w:t>
      </w:r>
      <w:r w:rsidR="00B01DAB" w:rsidRPr="00C64973">
        <w:t xml:space="preserve">the number of TVIs and COMS who are African-American did increase by fifteen, however; the number of VI professionals who are </w:t>
      </w:r>
      <w:r w:rsidR="00D43CF7" w:rsidRPr="00C64973">
        <w:t>Hispanic decreased by 8</w:t>
      </w:r>
      <w:r w:rsidR="00DF094B" w:rsidRPr="00C64973">
        <w:t xml:space="preserve"> an</w:t>
      </w:r>
      <w:r w:rsidR="00B01DAB" w:rsidRPr="00C64973">
        <w:t xml:space="preserve">d the number of </w:t>
      </w:r>
      <w:r w:rsidR="00F52F8A" w:rsidRPr="00C64973">
        <w:t>A</w:t>
      </w:r>
      <w:r w:rsidR="007E7A09" w:rsidRPr="00C64973">
        <w:t xml:space="preserve">sian-American </w:t>
      </w:r>
      <w:r w:rsidR="000C1951" w:rsidRPr="00C64973">
        <w:t>decreased</w:t>
      </w:r>
      <w:r w:rsidR="00B01DAB" w:rsidRPr="00C64973">
        <w:t xml:space="preserve"> </w:t>
      </w:r>
      <w:r w:rsidR="000C1951" w:rsidRPr="00C64973">
        <w:t>by 2</w:t>
      </w:r>
      <w:r w:rsidR="004D2483" w:rsidRPr="00C64973">
        <w:t xml:space="preserve"> individual</w:t>
      </w:r>
      <w:r w:rsidR="009B431D" w:rsidRPr="00C64973">
        <w:t>s</w:t>
      </w:r>
      <w:r w:rsidR="00B01DAB" w:rsidRPr="00C64973">
        <w:t>.</w:t>
      </w:r>
      <w:r w:rsidR="00DF094B" w:rsidRPr="00C64973">
        <w:t xml:space="preserve"> </w:t>
      </w:r>
      <w:r w:rsidR="0091642A" w:rsidRPr="00C64973">
        <w:t>T</w:t>
      </w:r>
      <w:r w:rsidR="00545ECB" w:rsidRPr="00C64973">
        <w:t>hose fluent in Spanish</w:t>
      </w:r>
      <w:r w:rsidR="00D43CF7" w:rsidRPr="00C64973">
        <w:t xml:space="preserve"> increased by 8</w:t>
      </w:r>
      <w:r w:rsidR="0091642A" w:rsidRPr="00C64973">
        <w:t xml:space="preserve"> </w:t>
      </w:r>
      <w:r w:rsidR="004D2483" w:rsidRPr="00C64973">
        <w:t>this year</w:t>
      </w:r>
      <w:r w:rsidR="007725FB" w:rsidRPr="00C64973">
        <w:t xml:space="preserve">, however, </w:t>
      </w:r>
      <w:r w:rsidR="00991FCB" w:rsidRPr="00C64973">
        <w:t xml:space="preserve">only </w:t>
      </w:r>
      <w:r w:rsidR="00C0220E" w:rsidRPr="00C64973">
        <w:t>10% of the VI field</w:t>
      </w:r>
      <w:r w:rsidR="00991FCB" w:rsidRPr="00C64973">
        <w:t xml:space="preserve"> are fluent Spanish speakers</w:t>
      </w:r>
      <w:r w:rsidR="00545ECB" w:rsidRPr="00C64973">
        <w:t xml:space="preserve">. </w:t>
      </w:r>
      <w:r w:rsidR="00E9674E" w:rsidRPr="00C64973">
        <w:t xml:space="preserve">ESC consultants and TSBVI staff were also asked </w:t>
      </w:r>
      <w:r w:rsidR="00114411">
        <w:t xml:space="preserve">to provide the number of Native </w:t>
      </w:r>
      <w:r w:rsidR="00E9674E" w:rsidRPr="00C64973">
        <w:t>American and Caucasian VI professionals working in their region/school. D</w:t>
      </w:r>
      <w:r w:rsidR="004403AC" w:rsidRPr="00C64973">
        <w:t xml:space="preserve">ata provided showed that the majority of </w:t>
      </w:r>
      <w:r w:rsidR="00E9674E" w:rsidRPr="00C64973">
        <w:t>VI professionals in Texas are Caucasian</w:t>
      </w:r>
      <w:r w:rsidR="00B01DAB" w:rsidRPr="00C64973">
        <w:t xml:space="preserve"> and </w:t>
      </w:r>
      <w:r w:rsidR="00114411">
        <w:t xml:space="preserve">one VI professional is Native </w:t>
      </w:r>
      <w:r w:rsidR="00DF094B" w:rsidRPr="00C64973">
        <w:t>American</w:t>
      </w:r>
      <w:r w:rsidR="00E9674E" w:rsidRPr="00C64973">
        <w:t xml:space="preserve">. </w:t>
      </w:r>
      <w:r w:rsidR="00180252" w:rsidRPr="00C64973">
        <w:t>R</w:t>
      </w:r>
      <w:r w:rsidR="005959C9" w:rsidRPr="00C64973">
        <w:t xml:space="preserve">ecruiting and retaining </w:t>
      </w:r>
      <w:r w:rsidR="00FB6632" w:rsidRPr="00C64973">
        <w:t xml:space="preserve">ethnically and </w:t>
      </w:r>
      <w:r w:rsidR="005959C9" w:rsidRPr="00C64973">
        <w:t>culturally dive</w:t>
      </w:r>
      <w:r w:rsidR="00ED193B" w:rsidRPr="00C64973">
        <w:t>rs</w:t>
      </w:r>
      <w:r w:rsidR="00D029B8" w:rsidRPr="00C64973">
        <w:t>e ed</w:t>
      </w:r>
      <w:bookmarkStart w:id="78" w:name="_Toc408835454"/>
      <w:bookmarkStart w:id="79" w:name="_Toc408835452"/>
      <w:bookmarkStart w:id="80" w:name="_Toc284342464"/>
      <w:bookmarkStart w:id="81" w:name="_Toc347126902"/>
      <w:bookmarkStart w:id="82" w:name="_Toc347127169"/>
      <w:r w:rsidR="00D02F6C" w:rsidRPr="00C64973">
        <w:t xml:space="preserve">ucators continues to </w:t>
      </w:r>
      <w:r w:rsidR="007E3816" w:rsidRPr="00C64973">
        <w:t xml:space="preserve">be an </w:t>
      </w:r>
      <w:r w:rsidR="00D02F6C" w:rsidRPr="00C64973">
        <w:t xml:space="preserve">important </w:t>
      </w:r>
      <w:r w:rsidR="007E3816" w:rsidRPr="00C64973">
        <w:t xml:space="preserve">goal </w:t>
      </w:r>
      <w:r w:rsidR="00D02F6C" w:rsidRPr="00C64973">
        <w:t xml:space="preserve">in Texas to reflect the student demographics. </w:t>
      </w:r>
    </w:p>
    <w:p w14:paraId="77B93209" w14:textId="5D0DB9D8" w:rsidR="00615AE0" w:rsidRPr="00C64973" w:rsidRDefault="007D2171" w:rsidP="00311315">
      <w:pPr>
        <w:pStyle w:val="Heading2"/>
      </w:pPr>
      <w:bookmarkStart w:id="83" w:name="_Toc61607301"/>
      <w:r w:rsidRPr="00C64973">
        <w:t>VI professionals who have a visual impairment</w:t>
      </w:r>
      <w:bookmarkEnd w:id="83"/>
    </w:p>
    <w:p w14:paraId="274528E7" w14:textId="35C02706" w:rsidR="00311315" w:rsidRPr="00C64973" w:rsidRDefault="00403544" w:rsidP="00311315">
      <w:pPr>
        <w:rPr>
          <w:b/>
          <w:i/>
        </w:rPr>
      </w:pPr>
      <w:r w:rsidRPr="00C64973">
        <w:rPr>
          <w:b/>
          <w:i/>
        </w:rPr>
        <w:t>Currently, t</w:t>
      </w:r>
      <w:r w:rsidR="0057326D" w:rsidRPr="00C64973">
        <w:rPr>
          <w:b/>
          <w:i/>
        </w:rPr>
        <w:t>wenty-four</w:t>
      </w:r>
      <w:r w:rsidR="00311315" w:rsidRPr="00C64973">
        <w:rPr>
          <w:b/>
          <w:i/>
        </w:rPr>
        <w:t xml:space="preserve"> VI professional</w:t>
      </w:r>
      <w:r w:rsidR="00800694" w:rsidRPr="00C64973">
        <w:rPr>
          <w:b/>
          <w:i/>
        </w:rPr>
        <w:t>s</w:t>
      </w:r>
      <w:r w:rsidRPr="00C64973">
        <w:rPr>
          <w:b/>
          <w:i/>
        </w:rPr>
        <w:t xml:space="preserve"> who are blind or visually impaired provide VI/O&amp;M leadership or direct services to students in Texas.</w:t>
      </w:r>
      <w:r w:rsidR="00800694" w:rsidRPr="00C64973">
        <w:rPr>
          <w:b/>
          <w:i/>
        </w:rPr>
        <w:t xml:space="preserve"> </w:t>
      </w:r>
    </w:p>
    <w:p w14:paraId="72A14751" w14:textId="623267CD" w:rsidR="0079521F" w:rsidRPr="00C64973" w:rsidRDefault="00CF25F8" w:rsidP="002B5A09">
      <w:pPr>
        <w:rPr>
          <w:color w:val="FF0000"/>
        </w:rPr>
      </w:pPr>
      <w:r w:rsidRPr="00C64973">
        <w:t xml:space="preserve">The ESCs were asked </w:t>
      </w:r>
      <w:r w:rsidR="00D029B8" w:rsidRPr="00C64973">
        <w:t>ho</w:t>
      </w:r>
      <w:r w:rsidRPr="00C64973">
        <w:t xml:space="preserve">w many VI professionals </w:t>
      </w:r>
      <w:r w:rsidR="00D029B8" w:rsidRPr="00C64973">
        <w:t>within the</w:t>
      </w:r>
      <w:r w:rsidR="00800694" w:rsidRPr="00C64973">
        <w:t>ir regions have a visual impairment</w:t>
      </w:r>
      <w:r w:rsidR="00D029B8" w:rsidRPr="00C64973">
        <w:t xml:space="preserve">. </w:t>
      </w:r>
      <w:r w:rsidR="00403544" w:rsidRPr="00C64973">
        <w:t xml:space="preserve">In 2020, they reported </w:t>
      </w:r>
      <w:r w:rsidR="008F0E04" w:rsidRPr="00C64973">
        <w:t>that</w:t>
      </w:r>
      <w:r w:rsidR="006F5B79" w:rsidRPr="00C64973">
        <w:t xml:space="preserve"> </w:t>
      </w:r>
      <w:r w:rsidR="007D2171" w:rsidRPr="00C64973">
        <w:t xml:space="preserve">a total of </w:t>
      </w:r>
      <w:r w:rsidR="0057326D" w:rsidRPr="00C64973">
        <w:t>24</w:t>
      </w:r>
      <w:r w:rsidRPr="00C64973">
        <w:t xml:space="preserve"> VI professionals in Texas </w:t>
      </w:r>
      <w:r w:rsidR="00DE2358" w:rsidRPr="00C64973">
        <w:t xml:space="preserve">are blind or have a visual </w:t>
      </w:r>
      <w:r w:rsidR="00EC3070" w:rsidRPr="00C64973">
        <w:t>impairment.</w:t>
      </w:r>
      <w:r w:rsidR="00E7548A" w:rsidRPr="00C64973">
        <w:t xml:space="preserve"> This includes direct service providers, ESC leadership</w:t>
      </w:r>
      <w:r w:rsidR="00E50DA6" w:rsidRPr="00C64973">
        <w:t>,</w:t>
      </w:r>
      <w:r w:rsidR="00E7548A" w:rsidRPr="00C64973">
        <w:t xml:space="preserve"> and TSBVI statewide consultants</w:t>
      </w:r>
      <w:r w:rsidR="003022A3" w:rsidRPr="00C64973">
        <w:t>.</w:t>
      </w:r>
    </w:p>
    <w:p w14:paraId="3A01080C" w14:textId="393D150B" w:rsidR="002B5A09" w:rsidRPr="00C64973" w:rsidRDefault="002B5A09" w:rsidP="002B5A09">
      <w:pPr>
        <w:pStyle w:val="Heading1"/>
      </w:pPr>
      <w:bookmarkStart w:id="84" w:name="_Toc61607302"/>
      <w:r w:rsidRPr="00C64973">
        <w:t>Growth in Population of Students with Visual Impairments and Impact on VI Professionals</w:t>
      </w:r>
      <w:bookmarkEnd w:id="84"/>
    </w:p>
    <w:p w14:paraId="56248854" w14:textId="6BAFD6C5" w:rsidR="0021174D" w:rsidRPr="00C64973" w:rsidRDefault="00EC3070" w:rsidP="0046087D">
      <w:r w:rsidRPr="00C64973">
        <w:rPr>
          <w:rFonts w:cs="Calibri"/>
        </w:rPr>
        <w:t>In January, 2020 there were 11,125</w:t>
      </w:r>
      <w:r w:rsidR="002B5A09" w:rsidRPr="00C64973">
        <w:rPr>
          <w:rFonts w:cs="Calibri"/>
        </w:rPr>
        <w:t xml:space="preserve"> students wi</w:t>
      </w:r>
      <w:r w:rsidR="00C61C41" w:rsidRPr="00C64973">
        <w:rPr>
          <w:rFonts w:cs="Calibri"/>
        </w:rPr>
        <w:t>th visual impairme</w:t>
      </w:r>
      <w:r w:rsidRPr="00C64973">
        <w:rPr>
          <w:rFonts w:cs="Calibri"/>
        </w:rPr>
        <w:t>nts in Texas, an increase of 3.5</w:t>
      </w:r>
      <w:r w:rsidR="00C61C41" w:rsidRPr="00C64973">
        <w:rPr>
          <w:rFonts w:cs="Calibri"/>
        </w:rPr>
        <w:t xml:space="preserve">% in just one year. </w:t>
      </w:r>
      <w:r w:rsidR="007530FD" w:rsidRPr="00C64973">
        <w:rPr>
          <w:rFonts w:cs="Calibri"/>
        </w:rPr>
        <w:t>Although Texas has seen considerably higher increases over the last two years (over 3%), d</w:t>
      </w:r>
      <w:r w:rsidR="002B5A09" w:rsidRPr="00C64973">
        <w:rPr>
          <w:rFonts w:cs="Calibri"/>
        </w:rPr>
        <w:t>ata collected since 2000 project that the student population will increase by</w:t>
      </w:r>
      <w:r w:rsidR="00097EE8" w:rsidRPr="00C64973">
        <w:rPr>
          <w:rFonts w:cs="Calibri"/>
        </w:rPr>
        <w:t xml:space="preserve"> an average of</w:t>
      </w:r>
      <w:r w:rsidR="002B5A09" w:rsidRPr="00C64973">
        <w:rPr>
          <w:rFonts w:cs="Calibri"/>
        </w:rPr>
        <w:t xml:space="preserve"> </w:t>
      </w:r>
      <w:r w:rsidR="00A76544" w:rsidRPr="00C64973">
        <w:rPr>
          <w:rFonts w:cs="Calibri"/>
        </w:rPr>
        <w:t xml:space="preserve">approximately </w:t>
      </w:r>
      <w:r w:rsidR="003704E0" w:rsidRPr="00C64973">
        <w:rPr>
          <w:rFonts w:cs="Calibri"/>
        </w:rPr>
        <w:t>2.7</w:t>
      </w:r>
      <w:r w:rsidR="002B5A09" w:rsidRPr="00C64973">
        <w:rPr>
          <w:rFonts w:cs="Calibri"/>
        </w:rPr>
        <w:t xml:space="preserve">% per year over the next 3 years (an additional </w:t>
      </w:r>
      <w:r w:rsidR="00932123" w:rsidRPr="00C64973">
        <w:rPr>
          <w:rFonts w:cs="Calibri"/>
        </w:rPr>
        <w:t>912</w:t>
      </w:r>
      <w:r w:rsidR="00661FB4" w:rsidRPr="00C64973">
        <w:rPr>
          <w:rFonts w:cs="Calibri"/>
        </w:rPr>
        <w:t xml:space="preserve"> </w:t>
      </w:r>
      <w:r w:rsidR="002B5A09" w:rsidRPr="00C64973">
        <w:rPr>
          <w:rFonts w:cs="Calibri"/>
        </w:rPr>
        <w:t>students) for a</w:t>
      </w:r>
      <w:r w:rsidR="00932123" w:rsidRPr="00C64973">
        <w:rPr>
          <w:rFonts w:cs="Calibri"/>
        </w:rPr>
        <w:t xml:space="preserve"> total of 12,037</w:t>
      </w:r>
      <w:r w:rsidR="00661FB4" w:rsidRPr="00C64973">
        <w:rPr>
          <w:rFonts w:cs="Calibri"/>
        </w:rPr>
        <w:t xml:space="preserve"> students by 2</w:t>
      </w:r>
      <w:r w:rsidRPr="00C64973">
        <w:rPr>
          <w:rFonts w:cs="Calibri"/>
        </w:rPr>
        <w:t>023</w:t>
      </w:r>
      <w:r w:rsidR="002B5A09" w:rsidRPr="00C64973">
        <w:rPr>
          <w:rFonts w:cs="Calibri"/>
        </w:rPr>
        <w:t>.</w:t>
      </w:r>
    </w:p>
    <w:p w14:paraId="29FF02BE" w14:textId="0F10BEBF" w:rsidR="008D69A0" w:rsidRPr="00C64973" w:rsidRDefault="0046087D" w:rsidP="00DE31FC">
      <w:pPr>
        <w:rPr>
          <w:rFonts w:cs="Calibri"/>
        </w:rPr>
      </w:pPr>
      <w:r w:rsidRPr="00C64973">
        <w:rPr>
          <w:rFonts w:cs="Calibri"/>
        </w:rPr>
        <w:t xml:space="preserve">Below is a </w:t>
      </w:r>
      <w:r w:rsidR="003022A3" w:rsidRPr="00C64973">
        <w:rPr>
          <w:rFonts w:cs="Calibri"/>
        </w:rPr>
        <w:t xml:space="preserve">graph that displays the growth </w:t>
      </w:r>
      <w:r w:rsidRPr="00C64973">
        <w:rPr>
          <w:rFonts w:cs="Calibri"/>
        </w:rPr>
        <w:t xml:space="preserve">in the number of students with visual impairments </w:t>
      </w:r>
      <w:r w:rsidR="00DF25A6">
        <w:rPr>
          <w:rFonts w:cs="Calibri"/>
        </w:rPr>
        <w:t xml:space="preserve">and the number of direct </w:t>
      </w:r>
      <w:r w:rsidR="007529C2">
        <w:rPr>
          <w:rFonts w:cs="Calibri"/>
        </w:rPr>
        <w:t>service</w:t>
      </w:r>
      <w:r w:rsidR="00DF25A6">
        <w:rPr>
          <w:rFonts w:cs="Calibri"/>
        </w:rPr>
        <w:t xml:space="preserve"> providers </w:t>
      </w:r>
      <w:r w:rsidR="007529C2">
        <w:rPr>
          <w:rFonts w:cs="Calibri"/>
        </w:rPr>
        <w:t xml:space="preserve">(TVIs and </w:t>
      </w:r>
      <w:r w:rsidR="00D574E5">
        <w:rPr>
          <w:rFonts w:cs="Calibri"/>
        </w:rPr>
        <w:t>COMS</w:t>
      </w:r>
      <w:r w:rsidR="007529C2">
        <w:rPr>
          <w:rFonts w:cs="Calibri"/>
        </w:rPr>
        <w:t xml:space="preserve">) </w:t>
      </w:r>
      <w:r w:rsidRPr="00C64973">
        <w:rPr>
          <w:rFonts w:cs="Calibri"/>
        </w:rPr>
        <w:t>over</w:t>
      </w:r>
      <w:r w:rsidR="00291649" w:rsidRPr="00C64973">
        <w:rPr>
          <w:rFonts w:cs="Calibri"/>
        </w:rPr>
        <w:t xml:space="preserve"> a 10</w:t>
      </w:r>
      <w:r w:rsidR="00537FF5" w:rsidRPr="00C64973">
        <w:rPr>
          <w:rFonts w:cs="Calibri"/>
        </w:rPr>
        <w:t>-year span</w:t>
      </w:r>
      <w:r w:rsidR="00DD2E48" w:rsidRPr="00C64973">
        <w:rPr>
          <w:rFonts w:cs="Calibri"/>
        </w:rPr>
        <w:t>.</w:t>
      </w:r>
      <w:r w:rsidR="00DE2358" w:rsidRPr="00C64973">
        <w:rPr>
          <w:rFonts w:cs="Calibri"/>
        </w:rPr>
        <w:t xml:space="preserve"> </w:t>
      </w:r>
      <w:r w:rsidR="00537FF5" w:rsidRPr="00C64973">
        <w:rPr>
          <w:rFonts w:cs="Calibri"/>
        </w:rPr>
        <w:t xml:space="preserve">Texas has seen a trend of </w:t>
      </w:r>
      <w:r w:rsidR="007B5601" w:rsidRPr="00C64973">
        <w:rPr>
          <w:rFonts w:cs="Calibri"/>
        </w:rPr>
        <w:t xml:space="preserve">an </w:t>
      </w:r>
      <w:r w:rsidR="00537FF5" w:rsidRPr="00C64973">
        <w:rPr>
          <w:rFonts w:cs="Calibri"/>
        </w:rPr>
        <w:t>increase in students each year with a slight drop</w:t>
      </w:r>
      <w:r w:rsidR="007725FB" w:rsidRPr="00C64973">
        <w:rPr>
          <w:rFonts w:cs="Calibri"/>
        </w:rPr>
        <w:t xml:space="preserve"> only</w:t>
      </w:r>
      <w:r w:rsidR="00537FF5" w:rsidRPr="00C64973">
        <w:rPr>
          <w:rFonts w:cs="Calibri"/>
        </w:rPr>
        <w:t xml:space="preserve"> in 2014. Totals climbe</w:t>
      </w:r>
      <w:r w:rsidR="00C47CD9" w:rsidRPr="00C64973">
        <w:rPr>
          <w:rFonts w:cs="Calibri"/>
        </w:rPr>
        <w:t xml:space="preserve">d once again in 2015 </w:t>
      </w:r>
      <w:r w:rsidR="00537FF5" w:rsidRPr="00C64973">
        <w:rPr>
          <w:rFonts w:cs="Calibri"/>
        </w:rPr>
        <w:t>with the largest amount of growth seen since data has been reported (5.8%). Totals have c</w:t>
      </w:r>
      <w:r w:rsidR="003704E0" w:rsidRPr="00C64973">
        <w:rPr>
          <w:rFonts w:cs="Calibri"/>
        </w:rPr>
        <w:t>ontinued to rise over the last 5</w:t>
      </w:r>
      <w:r w:rsidR="00EE401D">
        <w:rPr>
          <w:rFonts w:cs="Calibri"/>
        </w:rPr>
        <w:t xml:space="preserve"> years while the number of service providers available to support them has either decreased or lacked much change.</w:t>
      </w:r>
    </w:p>
    <w:p w14:paraId="4DD068C0" w14:textId="0B95DBCD" w:rsidR="00EC396D" w:rsidRPr="00155DEE" w:rsidRDefault="0032482C" w:rsidP="00E877E4">
      <w:pPr>
        <w:rPr>
          <w:sz w:val="20"/>
        </w:rPr>
      </w:pPr>
      <w:r>
        <w:rPr>
          <w:sz w:val="20"/>
        </w:rPr>
        <w:t>Graph 5: Students with Visual Impairments &amp; Direct Service Providers</w:t>
      </w:r>
    </w:p>
    <w:p w14:paraId="34283ED6" w14:textId="12107FF0" w:rsidR="00E877E4" w:rsidRPr="00EC5F22" w:rsidRDefault="00EC5F22" w:rsidP="007D79F8">
      <w:pPr>
        <w:pStyle w:val="Caption"/>
        <w:rPr>
          <w:b w:val="0"/>
        </w:rPr>
      </w:pPr>
      <w:r w:rsidRPr="00EC5F22">
        <w:rPr>
          <w:b w:val="0"/>
        </w:rPr>
        <w:t xml:space="preserve">Graph displays 2 distinct lines, one in blue at top of graph </w:t>
      </w:r>
      <w:proofErr w:type="spellStart"/>
      <w:r w:rsidRPr="00EC5F22">
        <w:rPr>
          <w:b w:val="0"/>
        </w:rPr>
        <w:t>represneting</w:t>
      </w:r>
      <w:proofErr w:type="spellEnd"/>
      <w:r w:rsidRPr="00EC5F22">
        <w:rPr>
          <w:b w:val="0"/>
        </w:rPr>
        <w:t xml:space="preserve"> number of students with visual impairments and the other in orange on bottom of graph representing number of VI Professionals. Number of students has increased steadily over 10 years. The number of VI professionals has remained about the same with a few increases and decreases over 10 years.</w:t>
      </w:r>
    </w:p>
    <w:tbl>
      <w:tblPr>
        <w:tblW w:w="0" w:type="auto"/>
        <w:tblLook w:val="04A0" w:firstRow="1" w:lastRow="0" w:firstColumn="1" w:lastColumn="0" w:noHBand="0" w:noVBand="1"/>
      </w:tblPr>
      <w:tblGrid>
        <w:gridCol w:w="2234"/>
        <w:gridCol w:w="221"/>
        <w:gridCol w:w="221"/>
        <w:gridCol w:w="634"/>
        <w:gridCol w:w="635"/>
        <w:gridCol w:w="635"/>
        <w:gridCol w:w="635"/>
        <w:gridCol w:w="635"/>
        <w:gridCol w:w="635"/>
        <w:gridCol w:w="635"/>
        <w:gridCol w:w="740"/>
        <w:gridCol w:w="740"/>
        <w:gridCol w:w="740"/>
        <w:gridCol w:w="740"/>
      </w:tblGrid>
      <w:tr w:rsidR="00EC5F22" w:rsidRPr="00EC5F22" w14:paraId="6A39BDD4" w14:textId="77777777" w:rsidTr="00EC5F22">
        <w:trPr>
          <w:trHeight w:val="255"/>
        </w:trPr>
        <w:tc>
          <w:tcPr>
            <w:tcW w:w="0" w:type="auto"/>
            <w:tcBorders>
              <w:top w:val="nil"/>
              <w:left w:val="nil"/>
              <w:bottom w:val="nil"/>
              <w:right w:val="nil"/>
            </w:tcBorders>
            <w:shd w:val="clear" w:color="000000" w:fill="FFFF00"/>
            <w:noWrap/>
            <w:vAlign w:val="bottom"/>
            <w:hideMark/>
          </w:tcPr>
          <w:p w14:paraId="40F5EBEE" w14:textId="6EF37CE7" w:rsidR="00EC5F22" w:rsidRPr="00EC5F22" w:rsidRDefault="00EC5F22" w:rsidP="00EC5F22">
            <w:pPr>
              <w:spacing w:after="0" w:line="240" w:lineRule="auto"/>
              <w:rPr>
                <w:rFonts w:cs="Arial"/>
                <w:sz w:val="20"/>
              </w:rPr>
            </w:pPr>
            <w:bookmarkStart w:id="85" w:name="_Toc61607303"/>
          </w:p>
        </w:tc>
        <w:tc>
          <w:tcPr>
            <w:tcW w:w="0" w:type="auto"/>
            <w:tcBorders>
              <w:top w:val="nil"/>
              <w:left w:val="nil"/>
              <w:bottom w:val="nil"/>
              <w:right w:val="nil"/>
            </w:tcBorders>
            <w:shd w:val="clear" w:color="auto" w:fill="auto"/>
            <w:noWrap/>
            <w:vAlign w:val="bottom"/>
            <w:hideMark/>
          </w:tcPr>
          <w:p w14:paraId="3568D630" w14:textId="77777777" w:rsidR="00EC5F22" w:rsidRPr="00EC5F22" w:rsidRDefault="00EC5F22" w:rsidP="00EC5F22">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1EDC948" w14:textId="77777777" w:rsidR="00EC5F22" w:rsidRPr="00EC5F22" w:rsidRDefault="00EC5F22" w:rsidP="00EC5F22">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A4F7A76"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2010</w:t>
            </w:r>
          </w:p>
        </w:tc>
        <w:tc>
          <w:tcPr>
            <w:tcW w:w="0" w:type="auto"/>
            <w:tcBorders>
              <w:top w:val="nil"/>
              <w:left w:val="nil"/>
              <w:bottom w:val="nil"/>
              <w:right w:val="nil"/>
            </w:tcBorders>
            <w:shd w:val="clear" w:color="auto" w:fill="auto"/>
            <w:noWrap/>
            <w:vAlign w:val="bottom"/>
            <w:hideMark/>
          </w:tcPr>
          <w:p w14:paraId="061A00A0"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2011</w:t>
            </w:r>
          </w:p>
        </w:tc>
        <w:tc>
          <w:tcPr>
            <w:tcW w:w="0" w:type="auto"/>
            <w:tcBorders>
              <w:top w:val="nil"/>
              <w:left w:val="nil"/>
              <w:bottom w:val="nil"/>
              <w:right w:val="nil"/>
            </w:tcBorders>
            <w:shd w:val="clear" w:color="auto" w:fill="auto"/>
            <w:noWrap/>
            <w:vAlign w:val="bottom"/>
            <w:hideMark/>
          </w:tcPr>
          <w:p w14:paraId="2E96A1FD"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2012</w:t>
            </w:r>
          </w:p>
        </w:tc>
        <w:tc>
          <w:tcPr>
            <w:tcW w:w="0" w:type="auto"/>
            <w:tcBorders>
              <w:top w:val="nil"/>
              <w:left w:val="nil"/>
              <w:bottom w:val="nil"/>
              <w:right w:val="nil"/>
            </w:tcBorders>
            <w:shd w:val="clear" w:color="auto" w:fill="auto"/>
            <w:noWrap/>
            <w:vAlign w:val="bottom"/>
            <w:hideMark/>
          </w:tcPr>
          <w:p w14:paraId="63D132A9" w14:textId="79288359" w:rsidR="00EC5F22" w:rsidRPr="00EC5F22" w:rsidRDefault="00EC5F22" w:rsidP="00EC5F22">
            <w:pPr>
              <w:spacing w:after="0" w:line="240" w:lineRule="auto"/>
              <w:jc w:val="right"/>
              <w:rPr>
                <w:rFonts w:cs="Arial"/>
                <w:color w:val="000000"/>
                <w:sz w:val="20"/>
              </w:rPr>
            </w:pPr>
            <w:r w:rsidRPr="00EC5F22">
              <w:rPr>
                <w:rFonts w:cs="Arial"/>
                <w:color w:val="000000"/>
                <w:sz w:val="20"/>
              </w:rPr>
              <w:t>2013</w:t>
            </w:r>
          </w:p>
        </w:tc>
        <w:tc>
          <w:tcPr>
            <w:tcW w:w="0" w:type="auto"/>
            <w:tcBorders>
              <w:top w:val="nil"/>
              <w:left w:val="nil"/>
              <w:bottom w:val="nil"/>
              <w:right w:val="nil"/>
            </w:tcBorders>
            <w:shd w:val="clear" w:color="auto" w:fill="auto"/>
            <w:noWrap/>
            <w:vAlign w:val="bottom"/>
            <w:hideMark/>
          </w:tcPr>
          <w:p w14:paraId="6B916FBC"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2014</w:t>
            </w:r>
          </w:p>
        </w:tc>
        <w:tc>
          <w:tcPr>
            <w:tcW w:w="0" w:type="auto"/>
            <w:tcBorders>
              <w:top w:val="nil"/>
              <w:left w:val="nil"/>
              <w:bottom w:val="nil"/>
              <w:right w:val="nil"/>
            </w:tcBorders>
            <w:shd w:val="clear" w:color="auto" w:fill="auto"/>
            <w:noWrap/>
            <w:vAlign w:val="bottom"/>
            <w:hideMark/>
          </w:tcPr>
          <w:p w14:paraId="4578602E" w14:textId="39B2946D" w:rsidR="00EC5F22" w:rsidRPr="00EC5F22" w:rsidRDefault="00EC5F22" w:rsidP="00EC5F22">
            <w:pPr>
              <w:spacing w:after="0" w:line="240" w:lineRule="auto"/>
              <w:jc w:val="right"/>
              <w:rPr>
                <w:rFonts w:cs="Arial"/>
                <w:color w:val="000000"/>
                <w:sz w:val="20"/>
              </w:rPr>
            </w:pPr>
            <w:r w:rsidRPr="00EC5F22">
              <w:rPr>
                <w:rFonts w:cs="Arial"/>
                <w:color w:val="000000"/>
                <w:sz w:val="20"/>
              </w:rPr>
              <w:t>2015</w:t>
            </w:r>
          </w:p>
        </w:tc>
        <w:tc>
          <w:tcPr>
            <w:tcW w:w="0" w:type="auto"/>
            <w:tcBorders>
              <w:top w:val="nil"/>
              <w:left w:val="nil"/>
              <w:bottom w:val="nil"/>
              <w:right w:val="nil"/>
            </w:tcBorders>
            <w:shd w:val="clear" w:color="auto" w:fill="auto"/>
            <w:noWrap/>
            <w:vAlign w:val="bottom"/>
            <w:hideMark/>
          </w:tcPr>
          <w:p w14:paraId="360E994E"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2016</w:t>
            </w:r>
          </w:p>
        </w:tc>
        <w:tc>
          <w:tcPr>
            <w:tcW w:w="0" w:type="auto"/>
            <w:tcBorders>
              <w:top w:val="nil"/>
              <w:left w:val="nil"/>
              <w:bottom w:val="nil"/>
              <w:right w:val="nil"/>
            </w:tcBorders>
            <w:shd w:val="clear" w:color="auto" w:fill="auto"/>
            <w:noWrap/>
            <w:vAlign w:val="bottom"/>
            <w:hideMark/>
          </w:tcPr>
          <w:p w14:paraId="691C21F2" w14:textId="791F65ED" w:rsidR="00EC5F22" w:rsidRPr="00EC5F22" w:rsidRDefault="00EC5F22" w:rsidP="00EC5F22">
            <w:pPr>
              <w:spacing w:after="0" w:line="240" w:lineRule="auto"/>
              <w:jc w:val="right"/>
              <w:rPr>
                <w:rFonts w:cs="Arial"/>
                <w:color w:val="000000"/>
                <w:sz w:val="20"/>
              </w:rPr>
            </w:pPr>
            <w:r w:rsidRPr="00EC5F22">
              <w:rPr>
                <w:rFonts w:cs="Arial"/>
                <w:color w:val="000000"/>
                <w:sz w:val="20"/>
              </w:rPr>
              <w:t>2017</w:t>
            </w:r>
          </w:p>
        </w:tc>
        <w:tc>
          <w:tcPr>
            <w:tcW w:w="0" w:type="auto"/>
            <w:tcBorders>
              <w:top w:val="nil"/>
              <w:left w:val="nil"/>
              <w:bottom w:val="nil"/>
              <w:right w:val="nil"/>
            </w:tcBorders>
            <w:shd w:val="clear" w:color="auto" w:fill="auto"/>
            <w:noWrap/>
            <w:vAlign w:val="bottom"/>
            <w:hideMark/>
          </w:tcPr>
          <w:p w14:paraId="774F2E3B" w14:textId="1E7FF471" w:rsidR="00EC5F22" w:rsidRPr="00EC5F22" w:rsidRDefault="00EC5F22" w:rsidP="00EC5F22">
            <w:pPr>
              <w:spacing w:after="0" w:line="240" w:lineRule="auto"/>
              <w:jc w:val="right"/>
              <w:rPr>
                <w:rFonts w:cs="Arial"/>
                <w:color w:val="000000"/>
                <w:sz w:val="20"/>
              </w:rPr>
            </w:pPr>
            <w:r w:rsidRPr="00EC5F22">
              <w:rPr>
                <w:rFonts w:cs="Arial"/>
                <w:color w:val="000000"/>
                <w:sz w:val="20"/>
              </w:rPr>
              <w:t>2018</w:t>
            </w:r>
          </w:p>
        </w:tc>
        <w:tc>
          <w:tcPr>
            <w:tcW w:w="0" w:type="auto"/>
            <w:tcBorders>
              <w:top w:val="nil"/>
              <w:left w:val="nil"/>
              <w:bottom w:val="nil"/>
              <w:right w:val="nil"/>
            </w:tcBorders>
            <w:shd w:val="clear" w:color="auto" w:fill="auto"/>
            <w:noWrap/>
            <w:vAlign w:val="bottom"/>
            <w:hideMark/>
          </w:tcPr>
          <w:p w14:paraId="33AD8E29"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2019</w:t>
            </w:r>
          </w:p>
        </w:tc>
        <w:tc>
          <w:tcPr>
            <w:tcW w:w="0" w:type="auto"/>
            <w:tcBorders>
              <w:top w:val="nil"/>
              <w:left w:val="nil"/>
              <w:bottom w:val="nil"/>
              <w:right w:val="nil"/>
            </w:tcBorders>
            <w:shd w:val="clear" w:color="auto" w:fill="auto"/>
            <w:noWrap/>
            <w:vAlign w:val="bottom"/>
            <w:hideMark/>
          </w:tcPr>
          <w:p w14:paraId="24339722"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2020</w:t>
            </w:r>
          </w:p>
        </w:tc>
      </w:tr>
      <w:tr w:rsidR="00EC5F22" w:rsidRPr="00EC5F22" w14:paraId="75577942" w14:textId="77777777" w:rsidTr="00EC5F22">
        <w:trPr>
          <w:trHeight w:val="255"/>
        </w:trPr>
        <w:tc>
          <w:tcPr>
            <w:tcW w:w="0" w:type="auto"/>
            <w:tcBorders>
              <w:top w:val="nil"/>
              <w:left w:val="nil"/>
              <w:bottom w:val="nil"/>
              <w:right w:val="nil"/>
            </w:tcBorders>
            <w:shd w:val="clear" w:color="auto" w:fill="auto"/>
            <w:noWrap/>
            <w:vAlign w:val="bottom"/>
            <w:hideMark/>
          </w:tcPr>
          <w:p w14:paraId="44345CFC" w14:textId="77777777" w:rsidR="00EC5F22" w:rsidRPr="00EC5F22" w:rsidRDefault="00EC5F22" w:rsidP="00EC5F22">
            <w:pPr>
              <w:spacing w:after="0" w:line="240" w:lineRule="auto"/>
              <w:rPr>
                <w:rFonts w:cs="Arial"/>
                <w:sz w:val="20"/>
              </w:rPr>
            </w:pPr>
            <w:r w:rsidRPr="00EC5F22">
              <w:rPr>
                <w:rFonts w:cs="Arial"/>
                <w:sz w:val="20"/>
              </w:rPr>
              <w:t>Number of Students</w:t>
            </w:r>
          </w:p>
        </w:tc>
        <w:tc>
          <w:tcPr>
            <w:tcW w:w="0" w:type="auto"/>
            <w:tcBorders>
              <w:top w:val="nil"/>
              <w:left w:val="nil"/>
              <w:bottom w:val="nil"/>
              <w:right w:val="nil"/>
            </w:tcBorders>
            <w:shd w:val="clear" w:color="auto" w:fill="auto"/>
            <w:noWrap/>
            <w:vAlign w:val="bottom"/>
            <w:hideMark/>
          </w:tcPr>
          <w:p w14:paraId="27E009C3" w14:textId="77777777" w:rsidR="00EC5F22" w:rsidRPr="00EC5F22" w:rsidRDefault="00EC5F22" w:rsidP="00EC5F22">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58E34BFD" w14:textId="77777777" w:rsidR="00EC5F22" w:rsidRPr="00EC5F22" w:rsidRDefault="00EC5F22" w:rsidP="00EC5F22">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2E7140F"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8475</w:t>
            </w:r>
          </w:p>
        </w:tc>
        <w:tc>
          <w:tcPr>
            <w:tcW w:w="0" w:type="auto"/>
            <w:tcBorders>
              <w:top w:val="nil"/>
              <w:left w:val="nil"/>
              <w:bottom w:val="nil"/>
              <w:right w:val="nil"/>
            </w:tcBorders>
            <w:shd w:val="clear" w:color="auto" w:fill="auto"/>
            <w:noWrap/>
            <w:vAlign w:val="bottom"/>
            <w:hideMark/>
          </w:tcPr>
          <w:p w14:paraId="15F9538D"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8788</w:t>
            </w:r>
          </w:p>
        </w:tc>
        <w:tc>
          <w:tcPr>
            <w:tcW w:w="0" w:type="auto"/>
            <w:tcBorders>
              <w:top w:val="nil"/>
              <w:left w:val="nil"/>
              <w:bottom w:val="nil"/>
              <w:right w:val="nil"/>
            </w:tcBorders>
            <w:shd w:val="clear" w:color="auto" w:fill="auto"/>
            <w:noWrap/>
            <w:vAlign w:val="bottom"/>
            <w:hideMark/>
          </w:tcPr>
          <w:p w14:paraId="1907025F"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8968</w:t>
            </w:r>
          </w:p>
        </w:tc>
        <w:tc>
          <w:tcPr>
            <w:tcW w:w="0" w:type="auto"/>
            <w:tcBorders>
              <w:top w:val="nil"/>
              <w:left w:val="nil"/>
              <w:bottom w:val="nil"/>
              <w:right w:val="nil"/>
            </w:tcBorders>
            <w:shd w:val="clear" w:color="auto" w:fill="auto"/>
            <w:noWrap/>
            <w:vAlign w:val="bottom"/>
            <w:hideMark/>
          </w:tcPr>
          <w:p w14:paraId="3CF2A831" w14:textId="755EA0CF" w:rsidR="00EC5F22" w:rsidRPr="00EC5F22" w:rsidRDefault="00EC5F22" w:rsidP="00EC5F22">
            <w:pPr>
              <w:spacing w:after="0" w:line="240" w:lineRule="auto"/>
              <w:jc w:val="right"/>
              <w:rPr>
                <w:rFonts w:cs="Arial"/>
                <w:color w:val="000000"/>
                <w:sz w:val="20"/>
              </w:rPr>
            </w:pPr>
            <w:r w:rsidRPr="00EC5F22">
              <w:rPr>
                <w:rFonts w:cs="Arial"/>
                <w:color w:val="000000"/>
                <w:sz w:val="20"/>
              </w:rPr>
              <w:t>9132</w:t>
            </w:r>
          </w:p>
        </w:tc>
        <w:tc>
          <w:tcPr>
            <w:tcW w:w="0" w:type="auto"/>
            <w:tcBorders>
              <w:top w:val="nil"/>
              <w:left w:val="nil"/>
              <w:bottom w:val="nil"/>
              <w:right w:val="nil"/>
            </w:tcBorders>
            <w:shd w:val="clear" w:color="auto" w:fill="auto"/>
            <w:noWrap/>
            <w:vAlign w:val="bottom"/>
            <w:hideMark/>
          </w:tcPr>
          <w:p w14:paraId="442B23B0" w14:textId="782B85DA" w:rsidR="00EC5F22" w:rsidRPr="00EC5F22" w:rsidRDefault="00EC5F22" w:rsidP="00EC5F22">
            <w:pPr>
              <w:spacing w:after="0" w:line="240" w:lineRule="auto"/>
              <w:jc w:val="right"/>
              <w:rPr>
                <w:rFonts w:cs="Arial"/>
                <w:color w:val="000000"/>
                <w:sz w:val="20"/>
              </w:rPr>
            </w:pPr>
            <w:r w:rsidRPr="00EC5F22">
              <w:rPr>
                <w:rFonts w:cs="Arial"/>
                <w:color w:val="000000"/>
                <w:sz w:val="20"/>
              </w:rPr>
              <w:t>9127</w:t>
            </w:r>
          </w:p>
        </w:tc>
        <w:tc>
          <w:tcPr>
            <w:tcW w:w="0" w:type="auto"/>
            <w:tcBorders>
              <w:top w:val="nil"/>
              <w:left w:val="nil"/>
              <w:bottom w:val="nil"/>
              <w:right w:val="nil"/>
            </w:tcBorders>
            <w:shd w:val="clear" w:color="auto" w:fill="auto"/>
            <w:noWrap/>
            <w:vAlign w:val="bottom"/>
            <w:hideMark/>
          </w:tcPr>
          <w:p w14:paraId="4604E024" w14:textId="721D7FFE" w:rsidR="00EC5F22" w:rsidRPr="00EC5F22" w:rsidRDefault="00EC5F22" w:rsidP="00EC5F22">
            <w:pPr>
              <w:spacing w:after="0" w:line="240" w:lineRule="auto"/>
              <w:jc w:val="right"/>
              <w:rPr>
                <w:rFonts w:cs="Arial"/>
                <w:color w:val="000000"/>
                <w:sz w:val="20"/>
              </w:rPr>
            </w:pPr>
            <w:r w:rsidRPr="00EC5F22">
              <w:rPr>
                <w:rFonts w:cs="Arial"/>
                <w:color w:val="000000"/>
                <w:sz w:val="20"/>
              </w:rPr>
              <w:t>9658</w:t>
            </w:r>
          </w:p>
        </w:tc>
        <w:tc>
          <w:tcPr>
            <w:tcW w:w="0" w:type="auto"/>
            <w:tcBorders>
              <w:top w:val="nil"/>
              <w:left w:val="nil"/>
              <w:bottom w:val="nil"/>
              <w:right w:val="nil"/>
            </w:tcBorders>
            <w:shd w:val="clear" w:color="auto" w:fill="auto"/>
            <w:noWrap/>
            <w:vAlign w:val="bottom"/>
            <w:hideMark/>
          </w:tcPr>
          <w:p w14:paraId="4417B0AD" w14:textId="10725BB7" w:rsidR="00EC5F22" w:rsidRPr="00EC5F22" w:rsidRDefault="00A2532D" w:rsidP="00EC5F22">
            <w:pPr>
              <w:spacing w:after="0" w:line="240" w:lineRule="auto"/>
              <w:jc w:val="right"/>
              <w:rPr>
                <w:rFonts w:cs="Arial"/>
                <w:color w:val="000000"/>
                <w:sz w:val="20"/>
              </w:rPr>
            </w:pPr>
            <w:r>
              <w:rPr>
                <w:noProof/>
                <w:sz w:val="20"/>
              </w:rPr>
              <w:drawing>
                <wp:anchor distT="0" distB="0" distL="114300" distR="114300" simplePos="0" relativeHeight="251763200" behindDoc="0" locked="0" layoutInCell="1" allowOverlap="1" wp14:anchorId="4974FC27" wp14:editId="5D1483E5">
                  <wp:simplePos x="0" y="0"/>
                  <wp:positionH relativeFrom="margin">
                    <wp:posOffset>-4189730</wp:posOffset>
                  </wp:positionH>
                  <wp:positionV relativeFrom="page">
                    <wp:posOffset>-1511300</wp:posOffset>
                  </wp:positionV>
                  <wp:extent cx="6394450" cy="3172460"/>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4450" cy="3172460"/>
                          </a:xfrm>
                          <a:prstGeom prst="rect">
                            <a:avLst/>
                          </a:prstGeom>
                          <a:noFill/>
                        </pic:spPr>
                      </pic:pic>
                    </a:graphicData>
                  </a:graphic>
                  <wp14:sizeRelH relativeFrom="margin">
                    <wp14:pctWidth>0</wp14:pctWidth>
                  </wp14:sizeRelH>
                  <wp14:sizeRelV relativeFrom="margin">
                    <wp14:pctHeight>0</wp14:pctHeight>
                  </wp14:sizeRelV>
                </wp:anchor>
              </w:drawing>
            </w:r>
            <w:r w:rsidR="00EC5F22" w:rsidRPr="00EC5F22">
              <w:rPr>
                <w:rFonts w:cs="Arial"/>
                <w:color w:val="000000"/>
                <w:sz w:val="20"/>
              </w:rPr>
              <w:t>9900</w:t>
            </w:r>
          </w:p>
        </w:tc>
        <w:tc>
          <w:tcPr>
            <w:tcW w:w="0" w:type="auto"/>
            <w:tcBorders>
              <w:top w:val="nil"/>
              <w:left w:val="nil"/>
              <w:bottom w:val="nil"/>
              <w:right w:val="nil"/>
            </w:tcBorders>
            <w:shd w:val="clear" w:color="auto" w:fill="auto"/>
            <w:noWrap/>
            <w:vAlign w:val="bottom"/>
            <w:hideMark/>
          </w:tcPr>
          <w:p w14:paraId="5BE1B064"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10074</w:t>
            </w:r>
          </w:p>
        </w:tc>
        <w:tc>
          <w:tcPr>
            <w:tcW w:w="0" w:type="auto"/>
            <w:tcBorders>
              <w:top w:val="nil"/>
              <w:left w:val="nil"/>
              <w:bottom w:val="nil"/>
              <w:right w:val="nil"/>
            </w:tcBorders>
            <w:shd w:val="clear" w:color="auto" w:fill="auto"/>
            <w:noWrap/>
            <w:vAlign w:val="bottom"/>
            <w:hideMark/>
          </w:tcPr>
          <w:p w14:paraId="7C38DA78"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10421</w:t>
            </w:r>
          </w:p>
        </w:tc>
        <w:tc>
          <w:tcPr>
            <w:tcW w:w="0" w:type="auto"/>
            <w:tcBorders>
              <w:top w:val="nil"/>
              <w:left w:val="nil"/>
              <w:bottom w:val="nil"/>
              <w:right w:val="nil"/>
            </w:tcBorders>
            <w:shd w:val="clear" w:color="auto" w:fill="auto"/>
            <w:noWrap/>
            <w:vAlign w:val="bottom"/>
            <w:hideMark/>
          </w:tcPr>
          <w:p w14:paraId="2C222E3F"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10753</w:t>
            </w:r>
          </w:p>
        </w:tc>
        <w:tc>
          <w:tcPr>
            <w:tcW w:w="0" w:type="auto"/>
            <w:tcBorders>
              <w:top w:val="nil"/>
              <w:left w:val="nil"/>
              <w:bottom w:val="nil"/>
              <w:right w:val="nil"/>
            </w:tcBorders>
            <w:shd w:val="clear" w:color="auto" w:fill="auto"/>
            <w:noWrap/>
            <w:vAlign w:val="bottom"/>
            <w:hideMark/>
          </w:tcPr>
          <w:p w14:paraId="3654FC15"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11125</w:t>
            </w:r>
          </w:p>
        </w:tc>
      </w:tr>
      <w:tr w:rsidR="00EC5F22" w:rsidRPr="00EC5F22" w14:paraId="3AFC5526" w14:textId="77777777" w:rsidTr="00EC5F22">
        <w:trPr>
          <w:trHeight w:val="255"/>
        </w:trPr>
        <w:tc>
          <w:tcPr>
            <w:tcW w:w="0" w:type="auto"/>
            <w:tcBorders>
              <w:top w:val="nil"/>
              <w:left w:val="nil"/>
              <w:bottom w:val="nil"/>
              <w:right w:val="nil"/>
            </w:tcBorders>
            <w:shd w:val="clear" w:color="auto" w:fill="auto"/>
            <w:noWrap/>
            <w:vAlign w:val="bottom"/>
            <w:hideMark/>
          </w:tcPr>
          <w:p w14:paraId="37D3CBB1" w14:textId="77777777" w:rsidR="00EC5F22" w:rsidRPr="00EC5F22" w:rsidRDefault="00EC5F22" w:rsidP="00EC5F22">
            <w:pPr>
              <w:spacing w:after="0" w:line="240" w:lineRule="auto"/>
              <w:rPr>
                <w:rFonts w:cs="Arial"/>
                <w:sz w:val="20"/>
              </w:rPr>
            </w:pPr>
            <w:r w:rsidRPr="00EC5F22">
              <w:rPr>
                <w:rFonts w:cs="Arial"/>
                <w:sz w:val="20"/>
              </w:rPr>
              <w:t>Direct Service Providers</w:t>
            </w:r>
          </w:p>
        </w:tc>
        <w:tc>
          <w:tcPr>
            <w:tcW w:w="0" w:type="auto"/>
            <w:tcBorders>
              <w:top w:val="nil"/>
              <w:left w:val="nil"/>
              <w:bottom w:val="nil"/>
              <w:right w:val="nil"/>
            </w:tcBorders>
            <w:shd w:val="clear" w:color="auto" w:fill="auto"/>
            <w:noWrap/>
            <w:vAlign w:val="bottom"/>
            <w:hideMark/>
          </w:tcPr>
          <w:p w14:paraId="533A22BC" w14:textId="77777777" w:rsidR="00EC5F22" w:rsidRPr="00EC5F22" w:rsidRDefault="00EC5F22" w:rsidP="00EC5F22">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7853738A" w14:textId="77777777" w:rsidR="00EC5F22" w:rsidRPr="00EC5F22" w:rsidRDefault="00EC5F22" w:rsidP="00EC5F22">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34846EE4"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834</w:t>
            </w:r>
          </w:p>
        </w:tc>
        <w:tc>
          <w:tcPr>
            <w:tcW w:w="0" w:type="auto"/>
            <w:tcBorders>
              <w:top w:val="nil"/>
              <w:left w:val="nil"/>
              <w:bottom w:val="nil"/>
              <w:right w:val="nil"/>
            </w:tcBorders>
            <w:shd w:val="clear" w:color="auto" w:fill="auto"/>
            <w:noWrap/>
            <w:vAlign w:val="bottom"/>
            <w:hideMark/>
          </w:tcPr>
          <w:p w14:paraId="579F011C"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853</w:t>
            </w:r>
          </w:p>
        </w:tc>
        <w:tc>
          <w:tcPr>
            <w:tcW w:w="0" w:type="auto"/>
            <w:tcBorders>
              <w:top w:val="nil"/>
              <w:left w:val="nil"/>
              <w:bottom w:val="nil"/>
              <w:right w:val="nil"/>
            </w:tcBorders>
            <w:shd w:val="clear" w:color="auto" w:fill="auto"/>
            <w:noWrap/>
            <w:vAlign w:val="bottom"/>
            <w:hideMark/>
          </w:tcPr>
          <w:p w14:paraId="09FA78AD"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883</w:t>
            </w:r>
          </w:p>
        </w:tc>
        <w:tc>
          <w:tcPr>
            <w:tcW w:w="0" w:type="auto"/>
            <w:tcBorders>
              <w:top w:val="nil"/>
              <w:left w:val="nil"/>
              <w:bottom w:val="nil"/>
              <w:right w:val="nil"/>
            </w:tcBorders>
            <w:shd w:val="clear" w:color="auto" w:fill="auto"/>
            <w:noWrap/>
            <w:vAlign w:val="bottom"/>
            <w:hideMark/>
          </w:tcPr>
          <w:p w14:paraId="68F42EBB" w14:textId="63FD3795" w:rsidR="00EC5F22" w:rsidRPr="00EC5F22" w:rsidRDefault="00EC5F22" w:rsidP="00EC5F22">
            <w:pPr>
              <w:spacing w:after="0" w:line="240" w:lineRule="auto"/>
              <w:jc w:val="right"/>
              <w:rPr>
                <w:rFonts w:cs="Arial"/>
                <w:color w:val="000000"/>
                <w:sz w:val="20"/>
              </w:rPr>
            </w:pPr>
            <w:r w:rsidRPr="00EC5F22">
              <w:rPr>
                <w:rFonts w:cs="Arial"/>
                <w:color w:val="000000"/>
                <w:sz w:val="20"/>
              </w:rPr>
              <w:t>858</w:t>
            </w:r>
          </w:p>
        </w:tc>
        <w:tc>
          <w:tcPr>
            <w:tcW w:w="0" w:type="auto"/>
            <w:tcBorders>
              <w:top w:val="nil"/>
              <w:left w:val="nil"/>
              <w:bottom w:val="nil"/>
              <w:right w:val="nil"/>
            </w:tcBorders>
            <w:shd w:val="clear" w:color="auto" w:fill="auto"/>
            <w:noWrap/>
            <w:vAlign w:val="bottom"/>
            <w:hideMark/>
          </w:tcPr>
          <w:p w14:paraId="7AB1AA60"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902</w:t>
            </w:r>
          </w:p>
        </w:tc>
        <w:tc>
          <w:tcPr>
            <w:tcW w:w="0" w:type="auto"/>
            <w:tcBorders>
              <w:top w:val="nil"/>
              <w:left w:val="nil"/>
              <w:bottom w:val="nil"/>
              <w:right w:val="nil"/>
            </w:tcBorders>
            <w:shd w:val="clear" w:color="auto" w:fill="auto"/>
            <w:noWrap/>
            <w:vAlign w:val="bottom"/>
            <w:hideMark/>
          </w:tcPr>
          <w:p w14:paraId="0CE21B0A"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901</w:t>
            </w:r>
          </w:p>
        </w:tc>
        <w:tc>
          <w:tcPr>
            <w:tcW w:w="0" w:type="auto"/>
            <w:tcBorders>
              <w:top w:val="nil"/>
              <w:left w:val="nil"/>
              <w:bottom w:val="nil"/>
              <w:right w:val="nil"/>
            </w:tcBorders>
            <w:shd w:val="clear" w:color="auto" w:fill="auto"/>
            <w:noWrap/>
            <w:vAlign w:val="bottom"/>
            <w:hideMark/>
          </w:tcPr>
          <w:p w14:paraId="59341357"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899</w:t>
            </w:r>
          </w:p>
        </w:tc>
        <w:tc>
          <w:tcPr>
            <w:tcW w:w="0" w:type="auto"/>
            <w:tcBorders>
              <w:top w:val="nil"/>
              <w:left w:val="nil"/>
              <w:bottom w:val="nil"/>
              <w:right w:val="nil"/>
            </w:tcBorders>
            <w:shd w:val="clear" w:color="auto" w:fill="auto"/>
            <w:noWrap/>
            <w:vAlign w:val="bottom"/>
            <w:hideMark/>
          </w:tcPr>
          <w:p w14:paraId="3DD6E019"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880</w:t>
            </w:r>
          </w:p>
        </w:tc>
        <w:tc>
          <w:tcPr>
            <w:tcW w:w="0" w:type="auto"/>
            <w:tcBorders>
              <w:top w:val="nil"/>
              <w:left w:val="nil"/>
              <w:bottom w:val="nil"/>
              <w:right w:val="nil"/>
            </w:tcBorders>
            <w:shd w:val="clear" w:color="auto" w:fill="auto"/>
            <w:noWrap/>
            <w:vAlign w:val="bottom"/>
            <w:hideMark/>
          </w:tcPr>
          <w:p w14:paraId="776003B5"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903</w:t>
            </w:r>
          </w:p>
        </w:tc>
        <w:tc>
          <w:tcPr>
            <w:tcW w:w="0" w:type="auto"/>
            <w:tcBorders>
              <w:top w:val="nil"/>
              <w:left w:val="nil"/>
              <w:bottom w:val="nil"/>
              <w:right w:val="nil"/>
            </w:tcBorders>
            <w:shd w:val="clear" w:color="auto" w:fill="auto"/>
            <w:noWrap/>
            <w:vAlign w:val="bottom"/>
            <w:hideMark/>
          </w:tcPr>
          <w:p w14:paraId="397B34C9"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937</w:t>
            </w:r>
          </w:p>
        </w:tc>
        <w:tc>
          <w:tcPr>
            <w:tcW w:w="0" w:type="auto"/>
            <w:tcBorders>
              <w:top w:val="nil"/>
              <w:left w:val="nil"/>
              <w:bottom w:val="nil"/>
              <w:right w:val="nil"/>
            </w:tcBorders>
            <w:shd w:val="clear" w:color="auto" w:fill="auto"/>
            <w:noWrap/>
            <w:vAlign w:val="bottom"/>
            <w:hideMark/>
          </w:tcPr>
          <w:p w14:paraId="46A4CA93" w14:textId="77777777" w:rsidR="00EC5F22" w:rsidRPr="00EC5F22" w:rsidRDefault="00EC5F22" w:rsidP="00EC5F22">
            <w:pPr>
              <w:spacing w:after="0" w:line="240" w:lineRule="auto"/>
              <w:jc w:val="right"/>
              <w:rPr>
                <w:rFonts w:cs="Arial"/>
                <w:color w:val="000000"/>
                <w:sz w:val="20"/>
              </w:rPr>
            </w:pPr>
            <w:r w:rsidRPr="00EC5F22">
              <w:rPr>
                <w:rFonts w:cs="Arial"/>
                <w:color w:val="000000"/>
                <w:sz w:val="20"/>
              </w:rPr>
              <w:t>908</w:t>
            </w:r>
          </w:p>
        </w:tc>
      </w:tr>
    </w:tbl>
    <w:p w14:paraId="6A9EF695" w14:textId="0F7B890A" w:rsidR="006950E1" w:rsidRDefault="006950E1" w:rsidP="0079337F">
      <w:pPr>
        <w:pStyle w:val="Heading2"/>
      </w:pPr>
    </w:p>
    <w:p w14:paraId="26007FD8" w14:textId="1802AAC7" w:rsidR="006950E1" w:rsidRDefault="006950E1" w:rsidP="0079337F">
      <w:pPr>
        <w:pStyle w:val="Heading2"/>
      </w:pPr>
    </w:p>
    <w:p w14:paraId="6E4672C3" w14:textId="50451DDD" w:rsidR="006950E1" w:rsidRDefault="006950E1" w:rsidP="006950E1"/>
    <w:p w14:paraId="6F4FE3CF" w14:textId="0ADEA958" w:rsidR="006950E1" w:rsidRDefault="006950E1" w:rsidP="006950E1"/>
    <w:p w14:paraId="61D3626D" w14:textId="34118766" w:rsidR="002B5A09" w:rsidRPr="00C64973" w:rsidRDefault="002B5A09" w:rsidP="0079337F">
      <w:pPr>
        <w:pStyle w:val="Heading2"/>
      </w:pPr>
      <w:r w:rsidRPr="00C64973">
        <w:t xml:space="preserve">Impact on teachers </w:t>
      </w:r>
      <w:r w:rsidR="00E50DA6" w:rsidRPr="00C64973">
        <w:t>of students with visual impairments</w:t>
      </w:r>
      <w:bookmarkEnd w:id="85"/>
    </w:p>
    <w:p w14:paraId="2D22C461" w14:textId="441FECFD" w:rsidR="0079337F" w:rsidRPr="00C64973" w:rsidRDefault="0079337F" w:rsidP="0079337F">
      <w:pPr>
        <w:rPr>
          <w:b/>
          <w:i/>
        </w:rPr>
      </w:pPr>
      <w:r w:rsidRPr="00C64973">
        <w:rPr>
          <w:rFonts w:cs="Calibri"/>
          <w:b/>
          <w:i/>
        </w:rPr>
        <w:t xml:space="preserve">It is projected that </w:t>
      </w:r>
      <w:r w:rsidR="006E1FB4" w:rsidRPr="00C64973">
        <w:rPr>
          <w:rFonts w:cs="Calibri"/>
          <w:b/>
          <w:i/>
        </w:rPr>
        <w:t>Texas will need approximately 57</w:t>
      </w:r>
      <w:r w:rsidRPr="00C64973">
        <w:rPr>
          <w:rFonts w:cs="Calibri"/>
          <w:b/>
          <w:i/>
        </w:rPr>
        <w:t xml:space="preserve"> additional </w:t>
      </w:r>
      <w:r w:rsidR="000B5F93" w:rsidRPr="00C64973">
        <w:rPr>
          <w:rFonts w:cs="Calibri"/>
          <w:b/>
          <w:i/>
        </w:rPr>
        <w:t>full-</w:t>
      </w:r>
      <w:r w:rsidR="006E1FB4" w:rsidRPr="00C64973">
        <w:rPr>
          <w:rFonts w:cs="Calibri"/>
          <w:b/>
          <w:i/>
        </w:rPr>
        <w:t xml:space="preserve">time equivalent </w:t>
      </w:r>
      <w:r w:rsidR="003A4B76">
        <w:rPr>
          <w:rFonts w:cs="Calibri"/>
          <w:b/>
          <w:i/>
        </w:rPr>
        <w:t xml:space="preserve">TVIs </w:t>
      </w:r>
      <w:r w:rsidR="006E1FB4" w:rsidRPr="00C64973">
        <w:rPr>
          <w:rFonts w:cs="Calibri"/>
          <w:b/>
          <w:i/>
        </w:rPr>
        <w:t>(</w:t>
      </w:r>
      <w:r w:rsidR="003A4B76">
        <w:rPr>
          <w:rFonts w:cs="Calibri"/>
          <w:b/>
          <w:i/>
        </w:rPr>
        <w:t xml:space="preserve">or </w:t>
      </w:r>
      <w:r w:rsidR="006E1FB4" w:rsidRPr="00C64973">
        <w:rPr>
          <w:rFonts w:cs="Calibri"/>
          <w:b/>
          <w:i/>
        </w:rPr>
        <w:t>71</w:t>
      </w:r>
      <w:r w:rsidR="00991FCB" w:rsidRPr="00C64973">
        <w:rPr>
          <w:rFonts w:cs="Calibri"/>
          <w:b/>
          <w:i/>
        </w:rPr>
        <w:t xml:space="preserve"> individuals) </w:t>
      </w:r>
      <w:r w:rsidR="006E1FB4" w:rsidRPr="00C64973">
        <w:rPr>
          <w:rFonts w:cs="Calibri"/>
          <w:b/>
          <w:i/>
        </w:rPr>
        <w:t>by 2023</w:t>
      </w:r>
      <w:r w:rsidRPr="00C64973">
        <w:rPr>
          <w:rFonts w:cs="Calibri"/>
          <w:b/>
          <w:i/>
        </w:rPr>
        <w:t xml:space="preserve"> to accommodate student growth alone.</w:t>
      </w:r>
    </w:p>
    <w:p w14:paraId="0573CD90" w14:textId="73F845AB" w:rsidR="002B5A09" w:rsidRPr="00C64973" w:rsidRDefault="002B5A09" w:rsidP="002B5A09">
      <w:pPr>
        <w:spacing w:line="288" w:lineRule="auto"/>
      </w:pPr>
      <w:r w:rsidRPr="00C64973">
        <w:rPr>
          <w:rFonts w:cs="Calibri"/>
        </w:rPr>
        <w:t>S</w:t>
      </w:r>
      <w:r w:rsidR="00972210" w:rsidRPr="00C64973">
        <w:rPr>
          <w:rFonts w:cs="Calibri"/>
        </w:rPr>
        <w:t xml:space="preserve">tatewide, </w:t>
      </w:r>
      <w:r w:rsidR="00F971DC" w:rsidRPr="00C64973">
        <w:rPr>
          <w:rFonts w:cs="Calibri"/>
        </w:rPr>
        <w:t xml:space="preserve">the </w:t>
      </w:r>
      <w:r w:rsidR="00262B15" w:rsidRPr="00C64973">
        <w:rPr>
          <w:rFonts w:cs="Calibri"/>
        </w:rPr>
        <w:t>student-to-teacher ratio</w:t>
      </w:r>
      <w:r w:rsidR="00B01DAB" w:rsidRPr="00C64973">
        <w:rPr>
          <w:rFonts w:cs="Calibri"/>
        </w:rPr>
        <w:t xml:space="preserve"> </w:t>
      </w:r>
      <w:r w:rsidR="00344D60" w:rsidRPr="00C64973">
        <w:rPr>
          <w:rFonts w:cs="Calibri"/>
        </w:rPr>
        <w:t>grew in 2020</w:t>
      </w:r>
      <w:r w:rsidR="00972210" w:rsidRPr="00C64973">
        <w:rPr>
          <w:rFonts w:cs="Calibri"/>
        </w:rPr>
        <w:t xml:space="preserve"> </w:t>
      </w:r>
      <w:r w:rsidR="00344D60" w:rsidRPr="00C64973">
        <w:rPr>
          <w:rFonts w:cs="Calibri"/>
        </w:rPr>
        <w:t>to almost 19</w:t>
      </w:r>
      <w:r w:rsidR="00F971DC" w:rsidRPr="00C64973">
        <w:rPr>
          <w:rFonts w:cs="Calibri"/>
        </w:rPr>
        <w:t xml:space="preserve"> students per </w:t>
      </w:r>
      <w:r w:rsidR="00723F4D" w:rsidRPr="00C64973">
        <w:rPr>
          <w:rFonts w:cs="Calibri"/>
        </w:rPr>
        <w:t>TVI</w:t>
      </w:r>
      <w:r w:rsidR="00F971DC" w:rsidRPr="00C64973">
        <w:rPr>
          <w:rFonts w:cs="Calibri"/>
        </w:rPr>
        <w:t xml:space="preserve"> full-time equivalent (FTE) position. Looking back o</w:t>
      </w:r>
      <w:r w:rsidR="000E2106" w:rsidRPr="00C64973">
        <w:rPr>
          <w:rFonts w:cs="Calibri"/>
        </w:rPr>
        <w:t>ver</w:t>
      </w:r>
      <w:r w:rsidR="00F971DC" w:rsidRPr="00C64973">
        <w:rPr>
          <w:rFonts w:cs="Calibri"/>
        </w:rPr>
        <w:t xml:space="preserve"> the past 10 years,</w:t>
      </w:r>
      <w:r w:rsidR="005E20D9" w:rsidRPr="00C64973">
        <w:rPr>
          <w:rFonts w:cs="Calibri"/>
        </w:rPr>
        <w:t xml:space="preserve"> </w:t>
      </w:r>
      <w:r w:rsidR="00F971DC" w:rsidRPr="00C64973">
        <w:rPr>
          <w:rFonts w:cs="Calibri"/>
        </w:rPr>
        <w:t xml:space="preserve">caseloads have averaged </w:t>
      </w:r>
      <w:r w:rsidR="00DB3D2C" w:rsidRPr="00C64973">
        <w:rPr>
          <w:rFonts w:cs="Calibri"/>
        </w:rPr>
        <w:t>16</w:t>
      </w:r>
      <w:r w:rsidRPr="00C64973">
        <w:rPr>
          <w:rFonts w:cs="Calibri"/>
        </w:rPr>
        <w:t xml:space="preserve"> studen</w:t>
      </w:r>
      <w:r w:rsidR="00F971DC" w:rsidRPr="00C64973">
        <w:rPr>
          <w:rFonts w:cs="Calibri"/>
        </w:rPr>
        <w:t xml:space="preserve">ts per </w:t>
      </w:r>
      <w:r w:rsidR="00723F4D" w:rsidRPr="00C64973">
        <w:rPr>
          <w:rFonts w:cs="Calibri"/>
        </w:rPr>
        <w:t>TVI</w:t>
      </w:r>
      <w:r w:rsidR="00F971DC" w:rsidRPr="00C64973">
        <w:rPr>
          <w:rFonts w:cs="Calibri"/>
        </w:rPr>
        <w:t xml:space="preserve"> FTE</w:t>
      </w:r>
      <w:r w:rsidRPr="00C64973">
        <w:rPr>
          <w:rFonts w:cs="Calibri"/>
        </w:rPr>
        <w:t xml:space="preserve">. If this </w:t>
      </w:r>
      <w:r w:rsidR="003A4B76">
        <w:rPr>
          <w:rFonts w:cs="Calibri"/>
        </w:rPr>
        <w:t xml:space="preserve">average </w:t>
      </w:r>
      <w:r w:rsidRPr="00C64973">
        <w:rPr>
          <w:rFonts w:cs="Calibri"/>
        </w:rPr>
        <w:t>ratio is applied to the number of expected new students, it is p</w:t>
      </w:r>
      <w:r w:rsidR="00E457C3" w:rsidRPr="00C64973">
        <w:rPr>
          <w:rFonts w:cs="Calibri"/>
        </w:rPr>
        <w:t>rojected that Tex</w:t>
      </w:r>
      <w:r w:rsidR="000E2106" w:rsidRPr="00C64973">
        <w:rPr>
          <w:rFonts w:cs="Calibri"/>
        </w:rPr>
        <w:t xml:space="preserve">as will need </w:t>
      </w:r>
      <w:r w:rsidR="00352382" w:rsidRPr="00C64973">
        <w:rPr>
          <w:rFonts w:cs="Calibri"/>
        </w:rPr>
        <w:t xml:space="preserve">approximately </w:t>
      </w:r>
      <w:r w:rsidR="0056127A" w:rsidRPr="00C64973">
        <w:rPr>
          <w:rFonts w:cs="Calibri"/>
        </w:rPr>
        <w:t>57</w:t>
      </w:r>
      <w:r w:rsidRPr="00C64973">
        <w:rPr>
          <w:rFonts w:cs="Calibri"/>
        </w:rPr>
        <w:t xml:space="preserve"> </w:t>
      </w:r>
      <w:r w:rsidR="006F5B79" w:rsidRPr="00C64973">
        <w:rPr>
          <w:rFonts w:cs="Calibri"/>
        </w:rPr>
        <w:t xml:space="preserve">additional </w:t>
      </w:r>
      <w:r w:rsidRPr="00C64973">
        <w:rPr>
          <w:rFonts w:cs="Calibri"/>
        </w:rPr>
        <w:t xml:space="preserve">FTEs </w:t>
      </w:r>
      <w:r w:rsidR="006616B1" w:rsidRPr="00C64973">
        <w:rPr>
          <w:rFonts w:cs="Calibri"/>
        </w:rPr>
        <w:t>by 202</w:t>
      </w:r>
      <w:r w:rsidR="0056127A" w:rsidRPr="00C64973">
        <w:rPr>
          <w:rFonts w:cs="Calibri"/>
        </w:rPr>
        <w:t xml:space="preserve">3 </w:t>
      </w:r>
      <w:r w:rsidRPr="00C64973">
        <w:rPr>
          <w:rFonts w:cs="Calibri"/>
        </w:rPr>
        <w:t>to accommodate studen</w:t>
      </w:r>
      <w:r w:rsidR="00A35BAF" w:rsidRPr="00C64973">
        <w:rPr>
          <w:rFonts w:cs="Calibri"/>
        </w:rPr>
        <w:t xml:space="preserve">t growth. However, given that </w:t>
      </w:r>
      <w:r w:rsidR="0056127A" w:rsidRPr="00C64973">
        <w:rPr>
          <w:rFonts w:cs="Calibri"/>
        </w:rPr>
        <w:t xml:space="preserve">only </w:t>
      </w:r>
      <w:r w:rsidR="00352382" w:rsidRPr="00C64973">
        <w:rPr>
          <w:rFonts w:cs="Calibri"/>
        </w:rPr>
        <w:t>76</w:t>
      </w:r>
      <w:r w:rsidRPr="00C64973">
        <w:rPr>
          <w:rFonts w:cs="Calibri"/>
        </w:rPr>
        <w:t xml:space="preserve">% of </w:t>
      </w:r>
      <w:r w:rsidR="00723F4D" w:rsidRPr="00C64973">
        <w:rPr>
          <w:rFonts w:cs="Calibri"/>
        </w:rPr>
        <w:t>TVI</w:t>
      </w:r>
      <w:r w:rsidR="000B5F93" w:rsidRPr="00C64973">
        <w:rPr>
          <w:rFonts w:cs="Calibri"/>
        </w:rPr>
        <w:t>s are full-</w:t>
      </w:r>
      <w:r w:rsidRPr="00C64973">
        <w:rPr>
          <w:rFonts w:cs="Calibri"/>
        </w:rPr>
        <w:t>time, it will take more i</w:t>
      </w:r>
      <w:r w:rsidR="000E2106" w:rsidRPr="00C64973">
        <w:rPr>
          <w:rFonts w:cs="Calibri"/>
        </w:rPr>
        <w:t>n</w:t>
      </w:r>
      <w:r w:rsidR="00FF5E0A" w:rsidRPr="00C64973">
        <w:rPr>
          <w:rFonts w:cs="Calibri"/>
        </w:rPr>
        <w:t xml:space="preserve">dividuals to meet the </w:t>
      </w:r>
      <w:r w:rsidR="006F5B79" w:rsidRPr="00C64973">
        <w:rPr>
          <w:rFonts w:cs="Calibri"/>
        </w:rPr>
        <w:t xml:space="preserve">expected need </w:t>
      </w:r>
      <w:r w:rsidR="002D5CFE" w:rsidRPr="00C64973">
        <w:rPr>
          <w:rFonts w:cs="Calibri"/>
        </w:rPr>
        <w:t xml:space="preserve">of </w:t>
      </w:r>
      <w:r w:rsidR="0056127A" w:rsidRPr="00C64973">
        <w:rPr>
          <w:rFonts w:cs="Calibri"/>
        </w:rPr>
        <w:t>57</w:t>
      </w:r>
      <w:r w:rsidR="00352382" w:rsidRPr="00C64973">
        <w:rPr>
          <w:rFonts w:cs="Calibri"/>
        </w:rPr>
        <w:t xml:space="preserve"> </w:t>
      </w:r>
      <w:r w:rsidR="006F5B79" w:rsidRPr="00C64973">
        <w:rPr>
          <w:rFonts w:cs="Calibri"/>
        </w:rPr>
        <w:t>FTEs</w:t>
      </w:r>
      <w:r w:rsidRPr="00C64973">
        <w:rPr>
          <w:rFonts w:cs="Calibri"/>
        </w:rPr>
        <w:t>. If the curren</w:t>
      </w:r>
      <w:r w:rsidR="00F22920" w:rsidRPr="00C64973">
        <w:rPr>
          <w:rFonts w:cs="Calibri"/>
        </w:rPr>
        <w:t xml:space="preserve">t average </w:t>
      </w:r>
      <w:r w:rsidRPr="00C64973">
        <w:rPr>
          <w:rFonts w:cs="Calibri"/>
        </w:rPr>
        <w:t xml:space="preserve">ratio of full- to part-time teachers continues, the number of </w:t>
      </w:r>
      <w:r w:rsidR="00723F4D" w:rsidRPr="00C64973">
        <w:rPr>
          <w:rFonts w:cs="Calibri"/>
        </w:rPr>
        <w:t>TVI</w:t>
      </w:r>
      <w:r w:rsidRPr="00C64973">
        <w:rPr>
          <w:rFonts w:cs="Calibri"/>
        </w:rPr>
        <w:t>s</w:t>
      </w:r>
      <w:r w:rsidRPr="00C64973">
        <w:t xml:space="preserve"> needed to to</w:t>
      </w:r>
      <w:r w:rsidR="00352382" w:rsidRPr="00C64973">
        <w:t xml:space="preserve">tal </w:t>
      </w:r>
      <w:r w:rsidR="0056127A" w:rsidRPr="00C64973">
        <w:t>57</w:t>
      </w:r>
      <w:r w:rsidR="00352382" w:rsidRPr="00C64973">
        <w:t xml:space="preserve"> </w:t>
      </w:r>
      <w:r w:rsidRPr="00C64973">
        <w:t xml:space="preserve">FTEs will be closer </w:t>
      </w:r>
      <w:r w:rsidR="0056127A" w:rsidRPr="00C64973">
        <w:t>to 71</w:t>
      </w:r>
      <w:r w:rsidRPr="00C64973">
        <w:t xml:space="preserve"> individuals. </w:t>
      </w:r>
    </w:p>
    <w:p w14:paraId="46A1B83F" w14:textId="3B12858A" w:rsidR="002B5A09" w:rsidRPr="00C64973" w:rsidRDefault="002B5A09" w:rsidP="0079337F">
      <w:pPr>
        <w:pStyle w:val="Heading2"/>
      </w:pPr>
      <w:bookmarkStart w:id="86" w:name="_Toc61607304"/>
      <w:r w:rsidRPr="00C64973">
        <w:t>Impact on O&amp;M specialists</w:t>
      </w:r>
      <w:bookmarkEnd w:id="86"/>
      <w:r w:rsidRPr="00C64973">
        <w:t xml:space="preserve"> </w:t>
      </w:r>
    </w:p>
    <w:p w14:paraId="5099DE37" w14:textId="4FB95B93" w:rsidR="0079337F" w:rsidRPr="00C64973" w:rsidRDefault="007331DF" w:rsidP="0079337F">
      <w:pPr>
        <w:rPr>
          <w:b/>
          <w:i/>
        </w:rPr>
      </w:pPr>
      <w:r w:rsidRPr="00C64973">
        <w:rPr>
          <w:rFonts w:cs="Calibri"/>
          <w:b/>
          <w:i/>
        </w:rPr>
        <w:t xml:space="preserve">It is projected that Texas will need </w:t>
      </w:r>
      <w:r w:rsidR="006E1FB4" w:rsidRPr="00C64973">
        <w:rPr>
          <w:b/>
          <w:i/>
        </w:rPr>
        <w:t>a minimum of 41</w:t>
      </w:r>
      <w:r w:rsidR="00445F9C" w:rsidRPr="00C64973">
        <w:rPr>
          <w:b/>
          <w:i/>
        </w:rPr>
        <w:t xml:space="preserve"> </w:t>
      </w:r>
      <w:r w:rsidR="00D97FCA">
        <w:rPr>
          <w:b/>
          <w:i/>
        </w:rPr>
        <w:t xml:space="preserve">additional </w:t>
      </w:r>
      <w:r w:rsidR="0079337F" w:rsidRPr="00C64973">
        <w:rPr>
          <w:b/>
          <w:i/>
        </w:rPr>
        <w:t xml:space="preserve">full-time equivalent </w:t>
      </w:r>
      <w:r w:rsidR="00BD2C01" w:rsidRPr="00C64973">
        <w:rPr>
          <w:b/>
          <w:i/>
        </w:rPr>
        <w:t xml:space="preserve">(57 individuals) </w:t>
      </w:r>
      <w:r w:rsidR="0079337F" w:rsidRPr="00C64973">
        <w:rPr>
          <w:b/>
          <w:i/>
        </w:rPr>
        <w:t>orientation and mobility specialists to meet expected student growth</w:t>
      </w:r>
      <w:r w:rsidR="00445F9C" w:rsidRPr="00C64973">
        <w:rPr>
          <w:b/>
          <w:i/>
        </w:rPr>
        <w:t xml:space="preserve"> over the next three years</w:t>
      </w:r>
      <w:r w:rsidR="0079337F" w:rsidRPr="00C64973">
        <w:rPr>
          <w:b/>
          <w:i/>
        </w:rPr>
        <w:t>.</w:t>
      </w:r>
    </w:p>
    <w:p w14:paraId="6384E5F0" w14:textId="610ECC31" w:rsidR="002B5A09" w:rsidRPr="00C64973" w:rsidRDefault="002B5A09" w:rsidP="00A656EA">
      <w:pPr>
        <w:spacing w:line="288" w:lineRule="auto"/>
      </w:pPr>
      <w:r w:rsidRPr="00C64973">
        <w:t xml:space="preserve">Information about students with visual impairments is </w:t>
      </w:r>
      <w:r w:rsidR="00C55D5E" w:rsidRPr="00C64973">
        <w:t>coll</w:t>
      </w:r>
      <w:r w:rsidR="00545ECB" w:rsidRPr="00C64973">
        <w:t>ected each January</w:t>
      </w:r>
      <w:r w:rsidR="00BD2C01" w:rsidRPr="00C64973">
        <w:t xml:space="preserve"> and includes information related to orientation and mobility services</w:t>
      </w:r>
      <w:r w:rsidR="00545ECB" w:rsidRPr="00C64973">
        <w:t xml:space="preserve">. </w:t>
      </w:r>
      <w:r w:rsidR="00AA6B28" w:rsidRPr="00C64973">
        <w:t xml:space="preserve">The </w:t>
      </w:r>
      <w:r w:rsidR="00344D60" w:rsidRPr="00C64973">
        <w:t>2020</w:t>
      </w:r>
      <w:r w:rsidR="00477892" w:rsidRPr="00C64973">
        <w:t xml:space="preserve"> </w:t>
      </w:r>
      <w:r w:rsidRPr="00C64973">
        <w:rPr>
          <w:i/>
        </w:rPr>
        <w:t>Annual Registration of Students with Visual Impairments</w:t>
      </w:r>
      <w:r w:rsidRPr="00C64973">
        <w:t xml:space="preserve"> indicated that the percentage of students who were receivin</w:t>
      </w:r>
      <w:r w:rsidR="00AA6B28" w:rsidRPr="00C64973">
        <w:t>g O&amp;</w:t>
      </w:r>
      <w:r w:rsidR="00410FB4" w:rsidRPr="00C64973">
        <w:t xml:space="preserve">M services is approximately </w:t>
      </w:r>
      <w:r w:rsidR="00344D60" w:rsidRPr="00C64973">
        <w:t xml:space="preserve">40%, about the same percentage </w:t>
      </w:r>
      <w:r w:rsidR="000C4134" w:rsidRPr="00C64973">
        <w:t>seen over the last several years</w:t>
      </w:r>
      <w:r w:rsidR="00C55D5E" w:rsidRPr="00C64973">
        <w:t>.</w:t>
      </w:r>
      <w:r w:rsidR="00545ECB" w:rsidRPr="00C64973">
        <w:t xml:space="preserve"> </w:t>
      </w:r>
      <w:r w:rsidR="00E6098D" w:rsidRPr="00C64973">
        <w:t>T</w:t>
      </w:r>
      <w:r w:rsidR="00D26700" w:rsidRPr="00C64973">
        <w:t>he number of O&amp;M service providers</w:t>
      </w:r>
      <w:r w:rsidR="00477892" w:rsidRPr="00C64973">
        <w:t xml:space="preserve"> in</w:t>
      </w:r>
      <w:r w:rsidR="00BD2C01" w:rsidRPr="00C64973">
        <w:t xml:space="preserve">creased only slightly this year </w:t>
      </w:r>
      <w:r w:rsidR="00477892" w:rsidRPr="00C64973">
        <w:t>as</w:t>
      </w:r>
      <w:r w:rsidR="00A656EA" w:rsidRPr="00C64973">
        <w:t xml:space="preserve"> an additional </w:t>
      </w:r>
      <w:r w:rsidR="00344D60" w:rsidRPr="00C64973">
        <w:t>297</w:t>
      </w:r>
      <w:r w:rsidR="00477892" w:rsidRPr="00C64973">
        <w:t xml:space="preserve"> </w:t>
      </w:r>
      <w:r w:rsidR="00D26700" w:rsidRPr="00C64973">
        <w:t xml:space="preserve">students </w:t>
      </w:r>
      <w:r w:rsidR="0084555C" w:rsidRPr="00C64973">
        <w:t xml:space="preserve">were evaluated for services and </w:t>
      </w:r>
      <w:r w:rsidR="00344D60" w:rsidRPr="00C64973">
        <w:t>160</w:t>
      </w:r>
      <w:r w:rsidR="00477892" w:rsidRPr="00C64973">
        <w:t xml:space="preserve"> </w:t>
      </w:r>
      <w:r w:rsidR="00A656EA" w:rsidRPr="00C64973">
        <w:t xml:space="preserve">students were added to caseloads. </w:t>
      </w:r>
      <w:r w:rsidRPr="00C64973">
        <w:t>It is</w:t>
      </w:r>
      <w:r w:rsidR="00F03795" w:rsidRPr="00C64973">
        <w:t xml:space="preserve"> anticipated that by </w:t>
      </w:r>
      <w:r w:rsidR="000C4134" w:rsidRPr="00C64973">
        <w:t>2023, 5,128</w:t>
      </w:r>
      <w:r w:rsidR="00477892" w:rsidRPr="00C64973">
        <w:t xml:space="preserve"> </w:t>
      </w:r>
      <w:r w:rsidRPr="00C64973">
        <w:t>students will be receiving</w:t>
      </w:r>
      <w:r w:rsidR="00F03795" w:rsidRPr="00C64973">
        <w:t xml:space="preserve"> O&amp;M </w:t>
      </w:r>
      <w:r w:rsidR="000C4134" w:rsidRPr="00C64973">
        <w:t xml:space="preserve">services, </w:t>
      </w:r>
      <w:r w:rsidR="00595E57" w:rsidRPr="00C64973">
        <w:t xml:space="preserve">an additional </w:t>
      </w:r>
      <w:r w:rsidR="000C4134" w:rsidRPr="00C64973">
        <w:t>691</w:t>
      </w:r>
      <w:r w:rsidR="00595E57" w:rsidRPr="00C64973">
        <w:t xml:space="preserve"> </w:t>
      </w:r>
      <w:r w:rsidRPr="00C64973">
        <w:t>students</w:t>
      </w:r>
      <w:r w:rsidR="00595E57" w:rsidRPr="00C64973">
        <w:t xml:space="preserve">. </w:t>
      </w:r>
    </w:p>
    <w:p w14:paraId="7C76186D" w14:textId="05B7BCE8" w:rsidR="002B5A09" w:rsidRPr="00C64973" w:rsidRDefault="001C1AE3" w:rsidP="002B5A09">
      <w:pPr>
        <w:spacing w:line="288" w:lineRule="auto"/>
      </w:pPr>
      <w:r w:rsidRPr="00C64973">
        <w:t>Although the total number of COMS increased this year s</w:t>
      </w:r>
      <w:r w:rsidR="002B5A09" w:rsidRPr="00C64973">
        <w:t>tatewide, the averag</w:t>
      </w:r>
      <w:r w:rsidR="00410FB4" w:rsidRPr="00C64973">
        <w:t xml:space="preserve">e student-to-COMS caseload stayed at just under 18 </w:t>
      </w:r>
      <w:r w:rsidR="002B5A09" w:rsidRPr="00C64973">
        <w:t>students per FTE.</w:t>
      </w:r>
      <w:r w:rsidR="00B35A31" w:rsidRPr="00C64973">
        <w:t xml:space="preserve"> Approximately s</w:t>
      </w:r>
      <w:r w:rsidR="00410FB4" w:rsidRPr="00C64973">
        <w:t xml:space="preserve">eventeen </w:t>
      </w:r>
      <w:r w:rsidR="002B32F5" w:rsidRPr="00C64973">
        <w:t>students per COMS is the av</w:t>
      </w:r>
      <w:r w:rsidR="00A877C7" w:rsidRPr="00C64973">
        <w:t>erage ratio</w:t>
      </w:r>
      <w:r w:rsidR="00410FB4" w:rsidRPr="00C64973">
        <w:t xml:space="preserve"> </w:t>
      </w:r>
      <w:r w:rsidR="00A877C7" w:rsidRPr="00C64973">
        <w:t xml:space="preserve">seen over a 10-year </w:t>
      </w:r>
      <w:r w:rsidR="002B32F5" w:rsidRPr="00C64973">
        <w:t xml:space="preserve">period. </w:t>
      </w:r>
      <w:r w:rsidR="006E1FB4" w:rsidRPr="00C64973">
        <w:t xml:space="preserve"> Using this average ratio</w:t>
      </w:r>
      <w:r w:rsidR="002B5A09" w:rsidRPr="00C64973">
        <w:t xml:space="preserve"> </w:t>
      </w:r>
      <w:r w:rsidR="00F772AF" w:rsidRPr="00C64973">
        <w:t>to</w:t>
      </w:r>
      <w:r w:rsidR="002B5A09" w:rsidRPr="00C64973">
        <w:t xml:space="preserve"> </w:t>
      </w:r>
      <w:r w:rsidR="006E1FB4" w:rsidRPr="00C64973">
        <w:t xml:space="preserve">help </w:t>
      </w:r>
      <w:r w:rsidR="002B5A09" w:rsidRPr="00C64973">
        <w:t xml:space="preserve">predict need, </w:t>
      </w:r>
      <w:r w:rsidR="00E03DBE" w:rsidRPr="00C64973">
        <w:t xml:space="preserve">by </w:t>
      </w:r>
      <w:r w:rsidR="00595E57" w:rsidRPr="00C64973">
        <w:t>2023</w:t>
      </w:r>
      <w:r w:rsidR="006F5B79" w:rsidRPr="00C64973">
        <w:t xml:space="preserve"> </w:t>
      </w:r>
      <w:r w:rsidR="004A6B16" w:rsidRPr="00C64973">
        <w:t xml:space="preserve">Texas will need an additional </w:t>
      </w:r>
      <w:r w:rsidR="006E1FB4" w:rsidRPr="00C64973">
        <w:t>41</w:t>
      </w:r>
      <w:r w:rsidR="004025A0" w:rsidRPr="00C64973">
        <w:t xml:space="preserve"> </w:t>
      </w:r>
      <w:r w:rsidR="002B5A09" w:rsidRPr="00C64973">
        <w:t>full-time equivalent (FTE) orientation a</w:t>
      </w:r>
      <w:r w:rsidR="00503D3F" w:rsidRPr="00C64973">
        <w:t xml:space="preserve">nd mobility specialists </w:t>
      </w:r>
      <w:r w:rsidR="003D3863" w:rsidRPr="00C64973">
        <w:t>to meet expected</w:t>
      </w:r>
      <w:r w:rsidR="006F5B79" w:rsidRPr="00C64973">
        <w:t xml:space="preserve"> student growth.</w:t>
      </w:r>
    </w:p>
    <w:p w14:paraId="5994118C" w14:textId="74071EBA" w:rsidR="002B5A09" w:rsidRPr="00C64973" w:rsidRDefault="002B5A09" w:rsidP="002B5A09">
      <w:pPr>
        <w:spacing w:line="288" w:lineRule="auto"/>
      </w:pPr>
      <w:r w:rsidRPr="00C64973">
        <w:t>In Texas, full-time equivalent positions can be quite different from the number of individuals needed to equal the FTEs, especial</w:t>
      </w:r>
      <w:r w:rsidR="006E4FAA" w:rsidRPr="00C64973">
        <w:t>ly with O&amp;M specialists</w:t>
      </w:r>
      <w:r w:rsidR="001C1AE3" w:rsidRPr="00C64973">
        <w:t xml:space="preserve">. </w:t>
      </w:r>
      <w:r w:rsidR="00595E57" w:rsidRPr="00C64973">
        <w:t xml:space="preserve">In 2020, </w:t>
      </w:r>
      <w:r w:rsidR="006E1FB4" w:rsidRPr="00C64973">
        <w:t>58.7</w:t>
      </w:r>
      <w:r w:rsidR="000B5F93" w:rsidRPr="00C64973">
        <w:t xml:space="preserve">% of </w:t>
      </w:r>
      <w:r w:rsidR="00D574E5">
        <w:t>COMS</w:t>
      </w:r>
      <w:r w:rsidR="000B5F93" w:rsidRPr="00C64973">
        <w:t xml:space="preserve"> were employed full-</w:t>
      </w:r>
      <w:r w:rsidRPr="00C64973">
        <w:t xml:space="preserve">time. </w:t>
      </w:r>
      <w:r w:rsidR="000B5F93" w:rsidRPr="00C64973">
        <w:t>These O&amp;M specialists work full-</w:t>
      </w:r>
      <w:r w:rsidRPr="00C64973">
        <w:t xml:space="preserve">time in a single district or contract with several districts. If the current ratio of full- to part-time individuals is applied, the number of </w:t>
      </w:r>
      <w:r w:rsidR="003D3863" w:rsidRPr="00C64973">
        <w:t xml:space="preserve">individual </w:t>
      </w:r>
      <w:r w:rsidRPr="00C64973">
        <w:t xml:space="preserve">O&amp;M specialists needed to result in </w:t>
      </w:r>
      <w:r w:rsidR="006E1FB4" w:rsidRPr="00C64973">
        <w:t>41</w:t>
      </w:r>
      <w:r w:rsidR="004835A8" w:rsidRPr="00C64973">
        <w:t xml:space="preserve"> </w:t>
      </w:r>
      <w:r w:rsidRPr="00C64973">
        <w:t xml:space="preserve">FTEs is likely to be closer to </w:t>
      </w:r>
      <w:r w:rsidR="009F2C4F" w:rsidRPr="00C64973">
        <w:t>57</w:t>
      </w:r>
      <w:r w:rsidRPr="00C64973">
        <w:t xml:space="preserve"> individuals. </w:t>
      </w:r>
    </w:p>
    <w:p w14:paraId="4FFA4A3C" w14:textId="12889228" w:rsidR="002B5A09" w:rsidRPr="00C64973" w:rsidRDefault="002B5A09" w:rsidP="0079337F">
      <w:pPr>
        <w:pStyle w:val="Heading2"/>
      </w:pPr>
      <w:bookmarkStart w:id="87" w:name="_Toc408835453"/>
      <w:bookmarkStart w:id="88" w:name="_Toc61607305"/>
      <w:r w:rsidRPr="00C64973">
        <w:t>Variance in growth of students with visual impairments and O&amp;M services</w:t>
      </w:r>
      <w:bookmarkEnd w:id="87"/>
      <w:bookmarkEnd w:id="88"/>
    </w:p>
    <w:p w14:paraId="52BA1709" w14:textId="637F2622" w:rsidR="006F1ACB" w:rsidRPr="00C64973" w:rsidRDefault="006F1ACB" w:rsidP="002B5A09">
      <w:pPr>
        <w:spacing w:line="288" w:lineRule="auto"/>
        <w:rPr>
          <w:b/>
          <w:i/>
          <w:color w:val="FF0000"/>
          <w:szCs w:val="24"/>
        </w:rPr>
      </w:pPr>
      <w:r w:rsidRPr="00C64973">
        <w:rPr>
          <w:b/>
          <w:i/>
        </w:rPr>
        <w:t>It is unkn</w:t>
      </w:r>
      <w:r w:rsidR="00780721" w:rsidRPr="00C64973">
        <w:rPr>
          <w:b/>
          <w:i/>
        </w:rPr>
        <w:t>own how many of the projected 12,037</w:t>
      </w:r>
      <w:r w:rsidRPr="00C64973">
        <w:rPr>
          <w:b/>
          <w:i/>
        </w:rPr>
        <w:t xml:space="preserve"> students with visual impairmen</w:t>
      </w:r>
      <w:r w:rsidR="00780721" w:rsidRPr="00C64973">
        <w:rPr>
          <w:b/>
          <w:i/>
        </w:rPr>
        <w:t>ts may need O&amp;M services by 2023</w:t>
      </w:r>
      <w:r w:rsidRPr="00C64973">
        <w:rPr>
          <w:b/>
          <w:i/>
        </w:rPr>
        <w:t xml:space="preserve">. </w:t>
      </w:r>
    </w:p>
    <w:p w14:paraId="7A976EB6" w14:textId="65F8896E" w:rsidR="002B5A09" w:rsidRPr="00C64973" w:rsidRDefault="00712603" w:rsidP="002B5A09">
      <w:pPr>
        <w:spacing w:line="288" w:lineRule="auto"/>
        <w:rPr>
          <w:color w:val="FF0000"/>
          <w:szCs w:val="24"/>
        </w:rPr>
      </w:pPr>
      <w:r w:rsidRPr="00C64973">
        <w:t>T</w:t>
      </w:r>
      <w:r w:rsidR="002B5A09" w:rsidRPr="00C64973">
        <w:t xml:space="preserve">he gap in </w:t>
      </w:r>
      <w:r w:rsidR="00A37AD2" w:rsidRPr="00C64973">
        <w:t xml:space="preserve">the </w:t>
      </w:r>
      <w:r w:rsidR="00C72B98" w:rsidRPr="00C64973">
        <w:t xml:space="preserve">average </w:t>
      </w:r>
      <w:r w:rsidR="00A37AD2" w:rsidRPr="00C64973">
        <w:t xml:space="preserve">growth rate of students </w:t>
      </w:r>
      <w:r w:rsidR="00780721" w:rsidRPr="00C64973">
        <w:t>(2.7</w:t>
      </w:r>
      <w:r w:rsidR="002B5A09" w:rsidRPr="00C64973">
        <w:t xml:space="preserve">% per yr.) and the </w:t>
      </w:r>
      <w:r w:rsidRPr="00C64973">
        <w:t xml:space="preserve">lack of change seen in O&amp;M </w:t>
      </w:r>
      <w:r w:rsidR="00991FCB" w:rsidRPr="00C64973">
        <w:t xml:space="preserve">average caseloads </w:t>
      </w:r>
      <w:r w:rsidRPr="00C64973">
        <w:t xml:space="preserve">is a concern. </w:t>
      </w:r>
      <w:r w:rsidR="00A569F3" w:rsidRPr="00C64973">
        <w:t>Although the number of students rec</w:t>
      </w:r>
      <w:r w:rsidR="00595E57" w:rsidRPr="00C64973">
        <w:t xml:space="preserve">eiving O&amp;M services </w:t>
      </w:r>
      <w:r w:rsidR="00A569F3" w:rsidRPr="00C64973">
        <w:t xml:space="preserve">increased </w:t>
      </w:r>
      <w:r w:rsidR="00360A3E" w:rsidRPr="00C64973">
        <w:t xml:space="preserve">slightly </w:t>
      </w:r>
      <w:r w:rsidR="00595E57" w:rsidRPr="00C64973">
        <w:t>this year</w:t>
      </w:r>
      <w:r w:rsidR="00A569F3" w:rsidRPr="00C64973">
        <w:t xml:space="preserve">, </w:t>
      </w:r>
      <w:r w:rsidRPr="00C64973">
        <w:t xml:space="preserve">the </w:t>
      </w:r>
      <w:r w:rsidR="006F1ACB" w:rsidRPr="00C64973">
        <w:t xml:space="preserve">number of students with visual impairments who will be eligible to receive O&amp;M services over the next three years cannot be determined. </w:t>
      </w:r>
      <w:r w:rsidR="006E7845" w:rsidRPr="00C64973">
        <w:t>A</w:t>
      </w:r>
      <w:r w:rsidR="00595E57" w:rsidRPr="00C64973">
        <w:t>s of January 2020</w:t>
      </w:r>
      <w:r w:rsidR="00780721" w:rsidRPr="00C64973">
        <w:t>, approximately 25</w:t>
      </w:r>
      <w:r w:rsidR="006E7845" w:rsidRPr="00C64973">
        <w:t>% of current students had not</w:t>
      </w:r>
      <w:r w:rsidR="003A4B76">
        <w:t xml:space="preserve"> ever</w:t>
      </w:r>
      <w:r w:rsidR="006E7845" w:rsidRPr="00C64973">
        <w:t xml:space="preserve"> been evaluated by an O&amp;M specialist.</w:t>
      </w:r>
    </w:p>
    <w:p w14:paraId="7F034C67" w14:textId="380F7159" w:rsidR="00532547" w:rsidRPr="00C64973" w:rsidRDefault="00532547" w:rsidP="00532547">
      <w:pPr>
        <w:pStyle w:val="Heading1"/>
      </w:pPr>
      <w:bookmarkStart w:id="89" w:name="_Toc61607306"/>
      <w:r w:rsidRPr="00C64973">
        <w:t>Attrition</w:t>
      </w:r>
      <w:bookmarkEnd w:id="78"/>
      <w:bookmarkEnd w:id="89"/>
    </w:p>
    <w:p w14:paraId="74CAD1E7" w14:textId="78552BF2" w:rsidR="00DE3184" w:rsidRPr="00C64973" w:rsidRDefault="00DE3184" w:rsidP="00DE3184">
      <w:pPr>
        <w:spacing w:line="288" w:lineRule="auto"/>
        <w:rPr>
          <w:rFonts w:cs="Calibri"/>
          <w:color w:val="000000" w:themeColor="text1"/>
        </w:rPr>
      </w:pPr>
      <w:r w:rsidRPr="00C64973">
        <w:rPr>
          <w:rFonts w:cs="Calibri"/>
          <w:color w:val="000000" w:themeColor="text1"/>
        </w:rPr>
        <w:t xml:space="preserve">It should be noted that the </w:t>
      </w:r>
      <w:r w:rsidR="00503D3F" w:rsidRPr="00C64973">
        <w:rPr>
          <w:rFonts w:cs="Calibri"/>
          <w:color w:val="000000" w:themeColor="text1"/>
        </w:rPr>
        <w:t xml:space="preserve">attrition </w:t>
      </w:r>
      <w:r w:rsidRPr="00C64973">
        <w:rPr>
          <w:rFonts w:cs="Calibri"/>
          <w:color w:val="000000" w:themeColor="text1"/>
        </w:rPr>
        <w:t xml:space="preserve">data </w:t>
      </w:r>
      <w:r w:rsidR="00503D3F" w:rsidRPr="00C64973">
        <w:rPr>
          <w:rFonts w:cs="Calibri"/>
          <w:color w:val="000000" w:themeColor="text1"/>
        </w:rPr>
        <w:t xml:space="preserve">collected in this survey </w:t>
      </w:r>
      <w:r w:rsidRPr="00C64973">
        <w:rPr>
          <w:rFonts w:cs="Calibri"/>
          <w:color w:val="000000" w:themeColor="text1"/>
        </w:rPr>
        <w:t xml:space="preserve">specifically addresses those who have </w:t>
      </w:r>
      <w:r w:rsidRPr="00C64973">
        <w:rPr>
          <w:rFonts w:cs="Calibri"/>
          <w:color w:val="000000" w:themeColor="text1"/>
          <w:u w:val="single"/>
        </w:rPr>
        <w:t>left the field</w:t>
      </w:r>
      <w:r w:rsidRPr="00C64973">
        <w:rPr>
          <w:rFonts w:cs="Calibri"/>
          <w:color w:val="000000" w:themeColor="text1"/>
        </w:rPr>
        <w:t>. The data do not include those who move from school employment to private contractual work, change districts, or retire and re-hire in the same or a different district.</w:t>
      </w:r>
    </w:p>
    <w:p w14:paraId="2A939A7C" w14:textId="53692884" w:rsidR="00991FCB" w:rsidRPr="00C64973" w:rsidRDefault="001018AB" w:rsidP="002E5403">
      <w:r w:rsidRPr="00C64973">
        <w:t>A</w:t>
      </w:r>
      <w:r w:rsidR="00DA1C8E" w:rsidRPr="00C64973">
        <w:t xml:space="preserve">ttrition </w:t>
      </w:r>
      <w:r w:rsidR="00712603" w:rsidRPr="00C64973">
        <w:t xml:space="preserve">increased </w:t>
      </w:r>
      <w:r w:rsidR="00866FA1" w:rsidRPr="00C64973">
        <w:t>slightly</w:t>
      </w:r>
      <w:r w:rsidR="00774C25" w:rsidRPr="00C64973">
        <w:t xml:space="preserve"> </w:t>
      </w:r>
      <w:r w:rsidR="00780721" w:rsidRPr="00C64973">
        <w:t>in 2020</w:t>
      </w:r>
      <w:r w:rsidR="00EC0BBA" w:rsidRPr="00C64973">
        <w:t xml:space="preserve"> </w:t>
      </w:r>
      <w:r w:rsidR="00774C25" w:rsidRPr="00C64973">
        <w:t xml:space="preserve">for </w:t>
      </w:r>
      <w:r w:rsidRPr="00C64973">
        <w:t>VI professionals</w:t>
      </w:r>
      <w:r w:rsidR="00774C25" w:rsidRPr="00C64973">
        <w:t xml:space="preserve"> as a whole, by a total of </w:t>
      </w:r>
      <w:r w:rsidR="00712603" w:rsidRPr="00C64973">
        <w:t>5</w:t>
      </w:r>
      <w:r w:rsidR="002E5403" w:rsidRPr="00C64973">
        <w:t xml:space="preserve"> individuals. Specifically</w:t>
      </w:r>
      <w:r w:rsidR="00712603" w:rsidRPr="00C64973">
        <w:t xml:space="preserve">, the ESCs reported that 8 </w:t>
      </w:r>
      <w:r w:rsidR="00031E5D" w:rsidRPr="00C64973">
        <w:t>COMS</w:t>
      </w:r>
      <w:r w:rsidR="00780721" w:rsidRPr="00C64973">
        <w:t>, 35</w:t>
      </w:r>
      <w:r w:rsidR="00774C25" w:rsidRPr="00C64973">
        <w:t xml:space="preserve"> </w:t>
      </w:r>
      <w:r w:rsidR="00723F4D" w:rsidRPr="00C64973">
        <w:t>TVI</w:t>
      </w:r>
      <w:r w:rsidR="008E7AB5" w:rsidRPr="00C64973">
        <w:t xml:space="preserve">s </w:t>
      </w:r>
      <w:r w:rsidR="00780721" w:rsidRPr="00C64973">
        <w:t>and 6</w:t>
      </w:r>
      <w:r w:rsidR="00712603" w:rsidRPr="00C64973">
        <w:t xml:space="preserve"> dually certified VI professionals</w:t>
      </w:r>
      <w:r w:rsidR="00780721" w:rsidRPr="00C64973">
        <w:t xml:space="preserve"> left the field in 2020</w:t>
      </w:r>
      <w:r w:rsidR="00712603" w:rsidRPr="00C64973">
        <w:t xml:space="preserve">. </w:t>
      </w:r>
      <w:r w:rsidR="003E0D27" w:rsidRPr="00C64973">
        <w:t xml:space="preserve">This </w:t>
      </w:r>
      <w:r w:rsidR="00BB6E7C" w:rsidRPr="00C64973">
        <w:t>year’s a</w:t>
      </w:r>
      <w:r w:rsidR="003E0D27" w:rsidRPr="00C64973">
        <w:t>ttrition total</w:t>
      </w:r>
      <w:r w:rsidR="00780721" w:rsidRPr="00C64973">
        <w:t xml:space="preserve"> of 49 individual</w:t>
      </w:r>
      <w:r w:rsidR="00554318" w:rsidRPr="00C64973">
        <w:t>s is among t</w:t>
      </w:r>
      <w:r w:rsidR="003A4B76">
        <w:t xml:space="preserve">he highest reported by the ESCs, </w:t>
      </w:r>
      <w:r w:rsidR="00554318" w:rsidRPr="00C64973">
        <w:t xml:space="preserve">with </w:t>
      </w:r>
      <w:r w:rsidR="000242D4" w:rsidRPr="00C64973">
        <w:t xml:space="preserve">the same number </w:t>
      </w:r>
      <w:r w:rsidR="00554318" w:rsidRPr="00C64973">
        <w:t>leaving the field in</w:t>
      </w:r>
      <w:r w:rsidR="000242D4" w:rsidRPr="00C64973">
        <w:t xml:space="preserve"> 2014</w:t>
      </w:r>
      <w:r w:rsidR="00554318" w:rsidRPr="00C64973">
        <w:t xml:space="preserve"> and 54 individuals leaving in 2012</w:t>
      </w:r>
      <w:r w:rsidR="00774C25" w:rsidRPr="00C64973">
        <w:t>.</w:t>
      </w:r>
      <w:r w:rsidR="00E20528" w:rsidRPr="00C64973">
        <w:t xml:space="preserve"> </w:t>
      </w:r>
    </w:p>
    <w:p w14:paraId="60A9E156" w14:textId="12124CBA" w:rsidR="00AF0146" w:rsidRPr="003A4B76" w:rsidRDefault="00E20528" w:rsidP="003A4B76">
      <w:r w:rsidRPr="00C64973">
        <w:t>T</w:t>
      </w:r>
      <w:r w:rsidR="00780721" w:rsidRPr="00C64973">
        <w:t>he VI field’s 5</w:t>
      </w:r>
      <w:r w:rsidR="00F015C1" w:rsidRPr="00C64973">
        <w:t>% attrition rate i</w:t>
      </w:r>
      <w:r w:rsidR="00780721" w:rsidRPr="00C64973">
        <w:t>n 2020</w:t>
      </w:r>
      <w:r w:rsidR="00645358" w:rsidRPr="00C64973">
        <w:t xml:space="preserve"> i</w:t>
      </w:r>
      <w:r w:rsidR="00F015C1" w:rsidRPr="00C64973">
        <w:t xml:space="preserve">s significantly lower than the steady 10% </w:t>
      </w:r>
      <w:r w:rsidR="003A4B76">
        <w:t xml:space="preserve">annual </w:t>
      </w:r>
      <w:r w:rsidR="00F015C1" w:rsidRPr="00C64973">
        <w:t xml:space="preserve">attrition rate of </w:t>
      </w:r>
      <w:r w:rsidRPr="00C64973">
        <w:t xml:space="preserve">certified </w:t>
      </w:r>
      <w:r w:rsidR="00F015C1" w:rsidRPr="00C64973">
        <w:t xml:space="preserve">teachers </w:t>
      </w:r>
      <w:r w:rsidRPr="00C64973">
        <w:t xml:space="preserve">as a whole </w:t>
      </w:r>
      <w:r w:rsidR="000242D4" w:rsidRPr="00C64973">
        <w:t>for</w:t>
      </w:r>
      <w:r w:rsidR="00F015C1" w:rsidRPr="00C64973">
        <w:t xml:space="preserve"> the state.</w:t>
      </w:r>
      <w:r w:rsidR="00645358" w:rsidRPr="00C64973">
        <w:t xml:space="preserve"> Although the VI field includes O&amp;M specialists who do not have to be a certified teacher, this</w:t>
      </w:r>
      <w:r w:rsidR="00991FCB" w:rsidRPr="00C64973">
        <w:t xml:space="preserve"> comparison</w:t>
      </w:r>
      <w:r w:rsidR="00645358" w:rsidRPr="00C64973">
        <w:t xml:space="preserve"> is still a good indicator of the </w:t>
      </w:r>
      <w:r w:rsidR="00407A47" w:rsidRPr="00C64973">
        <w:t xml:space="preserve">high </w:t>
      </w:r>
      <w:r w:rsidR="00645358" w:rsidRPr="00C64973">
        <w:t xml:space="preserve">commitment VI </w:t>
      </w:r>
      <w:r w:rsidR="004B4758" w:rsidRPr="00C64973">
        <w:t>professionals have to the VI field and the students they serve</w:t>
      </w:r>
      <w:r w:rsidR="005E1820" w:rsidRPr="00C64973">
        <w:t>.</w:t>
      </w:r>
      <w:r w:rsidR="00AF0146" w:rsidRPr="00C64973">
        <w:t xml:space="preserve"> In addition, VI professionals in Texas have the added benefit of being paired with a trained, experienced mentor. </w:t>
      </w:r>
      <w:r w:rsidR="00A854DC" w:rsidRPr="00A854DC">
        <w:t>Support is also offered at both the region and statewide level through education service centers and the Texas School for the Blind and Visually Impaired Outreach Programs.</w:t>
      </w:r>
      <w:r w:rsidR="003A4B76" w:rsidRPr="003A4B76">
        <w:t xml:space="preserve"> All of these factors may help explain the lower attrition rate in Texas for VI professionals compared to other teaching fields.</w:t>
      </w:r>
    </w:p>
    <w:p w14:paraId="0AED55C5" w14:textId="77777777" w:rsidR="00532547" w:rsidRPr="00C64973" w:rsidRDefault="00532547" w:rsidP="00532547">
      <w:pPr>
        <w:pStyle w:val="Heading3"/>
      </w:pPr>
      <w:r w:rsidRPr="00C64973">
        <w:t>Table 8: Actual Attrition within the Past Year (1-Year Attrition)</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200"/>
        <w:gridCol w:w="1200"/>
        <w:gridCol w:w="1200"/>
      </w:tblGrid>
      <w:tr w:rsidR="002D4B42" w:rsidRPr="00C64973" w14:paraId="25432F5D" w14:textId="77777777" w:rsidTr="004C4C54">
        <w:tc>
          <w:tcPr>
            <w:tcW w:w="2070" w:type="dxa"/>
            <w:tcBorders>
              <w:top w:val="nil"/>
              <w:left w:val="nil"/>
              <w:right w:val="nil"/>
            </w:tcBorders>
          </w:tcPr>
          <w:p w14:paraId="4E00171F" w14:textId="77777777" w:rsidR="00532547" w:rsidRPr="00C64973" w:rsidRDefault="00532547" w:rsidP="00E51125">
            <w:pPr>
              <w:pStyle w:val="Heading4"/>
              <w:spacing w:after="0"/>
              <w:rPr>
                <w:szCs w:val="24"/>
              </w:rPr>
            </w:pPr>
          </w:p>
        </w:tc>
        <w:tc>
          <w:tcPr>
            <w:tcW w:w="1200" w:type="dxa"/>
            <w:tcBorders>
              <w:top w:val="nil"/>
              <w:left w:val="nil"/>
              <w:right w:val="nil"/>
            </w:tcBorders>
            <w:shd w:val="clear" w:color="auto" w:fill="auto"/>
          </w:tcPr>
          <w:p w14:paraId="7483CEB5" w14:textId="4C943EB8" w:rsidR="00532547" w:rsidRPr="00C64973" w:rsidRDefault="004C4C54" w:rsidP="00D42724">
            <w:pPr>
              <w:jc w:val="center"/>
              <w:rPr>
                <w:b/>
                <w:szCs w:val="26"/>
              </w:rPr>
            </w:pPr>
            <w:r w:rsidRPr="00C64973">
              <w:rPr>
                <w:b/>
              </w:rPr>
              <w:t>2018</w:t>
            </w:r>
          </w:p>
        </w:tc>
        <w:tc>
          <w:tcPr>
            <w:tcW w:w="1200" w:type="dxa"/>
            <w:tcBorders>
              <w:top w:val="nil"/>
              <w:left w:val="nil"/>
              <w:right w:val="nil"/>
            </w:tcBorders>
            <w:shd w:val="clear" w:color="auto" w:fill="auto"/>
          </w:tcPr>
          <w:p w14:paraId="7F9DFCC5" w14:textId="1B16950C" w:rsidR="00532547" w:rsidRPr="00C64973" w:rsidRDefault="004C4C54" w:rsidP="00D42724">
            <w:pPr>
              <w:jc w:val="center"/>
              <w:rPr>
                <w:b/>
                <w:szCs w:val="26"/>
              </w:rPr>
            </w:pPr>
            <w:r w:rsidRPr="00C64973">
              <w:rPr>
                <w:b/>
              </w:rPr>
              <w:t>2019</w:t>
            </w:r>
          </w:p>
        </w:tc>
        <w:tc>
          <w:tcPr>
            <w:tcW w:w="1200" w:type="dxa"/>
            <w:tcBorders>
              <w:top w:val="nil"/>
              <w:left w:val="nil"/>
              <w:right w:val="nil"/>
            </w:tcBorders>
            <w:shd w:val="clear" w:color="auto" w:fill="auto"/>
          </w:tcPr>
          <w:p w14:paraId="6AF71DE8" w14:textId="04C402DC" w:rsidR="00532547" w:rsidRPr="00C64973" w:rsidRDefault="004C4C54" w:rsidP="00D42724">
            <w:pPr>
              <w:jc w:val="center"/>
              <w:rPr>
                <w:b/>
                <w:szCs w:val="26"/>
              </w:rPr>
            </w:pPr>
            <w:r w:rsidRPr="00C64973">
              <w:rPr>
                <w:b/>
              </w:rPr>
              <w:t>2020</w:t>
            </w:r>
          </w:p>
        </w:tc>
      </w:tr>
      <w:tr w:rsidR="002D4B42" w:rsidRPr="00C64973" w14:paraId="45E587C8" w14:textId="77777777" w:rsidTr="004C4C54">
        <w:tc>
          <w:tcPr>
            <w:tcW w:w="2070" w:type="dxa"/>
            <w:shd w:val="clear" w:color="auto" w:fill="auto"/>
          </w:tcPr>
          <w:p w14:paraId="1D7CD3C9" w14:textId="54DEF07E" w:rsidR="00532547" w:rsidRPr="00C64973" w:rsidRDefault="00723F4D" w:rsidP="00E51125">
            <w:pPr>
              <w:pStyle w:val="veroirsubtitulo"/>
              <w:spacing w:after="0" w:line="288" w:lineRule="auto"/>
              <w:rPr>
                <w:bCs/>
                <w:szCs w:val="24"/>
                <w:lang w:val="en-US"/>
              </w:rPr>
            </w:pPr>
            <w:r w:rsidRPr="00C64973">
              <w:rPr>
                <w:bCs/>
                <w:szCs w:val="24"/>
                <w:lang w:val="en-US"/>
              </w:rPr>
              <w:t>TVI</w:t>
            </w:r>
            <w:r w:rsidR="00532547" w:rsidRPr="00C64973">
              <w:rPr>
                <w:bCs/>
                <w:szCs w:val="24"/>
                <w:lang w:val="en-US"/>
              </w:rPr>
              <w:t>s</w:t>
            </w:r>
          </w:p>
        </w:tc>
        <w:tc>
          <w:tcPr>
            <w:tcW w:w="1200" w:type="dxa"/>
            <w:shd w:val="clear" w:color="auto" w:fill="auto"/>
            <w:vAlign w:val="center"/>
          </w:tcPr>
          <w:p w14:paraId="58D5870E" w14:textId="451495E9" w:rsidR="00532547" w:rsidRPr="00C64973" w:rsidRDefault="004C4C54" w:rsidP="00E51125">
            <w:pPr>
              <w:spacing w:after="0" w:line="288" w:lineRule="auto"/>
              <w:jc w:val="center"/>
              <w:rPr>
                <w:szCs w:val="24"/>
              </w:rPr>
            </w:pPr>
            <w:r w:rsidRPr="00C64973">
              <w:rPr>
                <w:szCs w:val="24"/>
              </w:rPr>
              <w:t>33</w:t>
            </w:r>
          </w:p>
        </w:tc>
        <w:tc>
          <w:tcPr>
            <w:tcW w:w="1200" w:type="dxa"/>
            <w:shd w:val="clear" w:color="auto" w:fill="auto"/>
            <w:vAlign w:val="center"/>
          </w:tcPr>
          <w:p w14:paraId="12AB1767" w14:textId="75156D4C" w:rsidR="00532547" w:rsidRPr="00C64973" w:rsidRDefault="004C4C54" w:rsidP="00E51125">
            <w:pPr>
              <w:spacing w:after="0" w:line="288" w:lineRule="auto"/>
              <w:jc w:val="center"/>
              <w:rPr>
                <w:szCs w:val="24"/>
              </w:rPr>
            </w:pPr>
            <w:r w:rsidRPr="00C64973">
              <w:rPr>
                <w:szCs w:val="24"/>
              </w:rPr>
              <w:t>31</w:t>
            </w:r>
          </w:p>
        </w:tc>
        <w:tc>
          <w:tcPr>
            <w:tcW w:w="1200" w:type="dxa"/>
            <w:shd w:val="clear" w:color="auto" w:fill="auto"/>
          </w:tcPr>
          <w:p w14:paraId="48AD92CC" w14:textId="7CE2BCCC" w:rsidR="00532547" w:rsidRPr="00C64973" w:rsidRDefault="004C4C54" w:rsidP="00E51125">
            <w:pPr>
              <w:spacing w:after="0" w:line="240" w:lineRule="auto"/>
              <w:jc w:val="center"/>
              <w:rPr>
                <w:rFonts w:cs="Arial"/>
                <w:szCs w:val="24"/>
              </w:rPr>
            </w:pPr>
            <w:r w:rsidRPr="00C64973">
              <w:rPr>
                <w:rFonts w:cs="Arial"/>
                <w:szCs w:val="24"/>
              </w:rPr>
              <w:t>35</w:t>
            </w:r>
          </w:p>
        </w:tc>
      </w:tr>
      <w:tr w:rsidR="002D4B42" w:rsidRPr="00C64973" w14:paraId="42A4CEB4" w14:textId="77777777" w:rsidTr="004C4C54">
        <w:tc>
          <w:tcPr>
            <w:tcW w:w="2070" w:type="dxa"/>
            <w:shd w:val="clear" w:color="auto" w:fill="auto"/>
          </w:tcPr>
          <w:p w14:paraId="1196DE2C" w14:textId="63BDFA58" w:rsidR="00532547" w:rsidRPr="00C64973" w:rsidRDefault="00D574E5" w:rsidP="00E51125">
            <w:pPr>
              <w:spacing w:after="0" w:line="288" w:lineRule="auto"/>
              <w:rPr>
                <w:rFonts w:eastAsia="MS Mincho"/>
                <w:i/>
                <w:iCs/>
                <w:szCs w:val="24"/>
              </w:rPr>
            </w:pPr>
            <w:r>
              <w:rPr>
                <w:b/>
                <w:bCs/>
                <w:szCs w:val="24"/>
              </w:rPr>
              <w:t>COMS</w:t>
            </w:r>
          </w:p>
        </w:tc>
        <w:tc>
          <w:tcPr>
            <w:tcW w:w="1200" w:type="dxa"/>
            <w:shd w:val="clear" w:color="auto" w:fill="auto"/>
            <w:vAlign w:val="center"/>
          </w:tcPr>
          <w:p w14:paraId="63D601A5" w14:textId="43C2B634" w:rsidR="00532547" w:rsidRPr="00C64973" w:rsidRDefault="004C4C54" w:rsidP="00E51125">
            <w:pPr>
              <w:spacing w:after="0" w:line="288" w:lineRule="auto"/>
              <w:jc w:val="center"/>
              <w:rPr>
                <w:szCs w:val="24"/>
              </w:rPr>
            </w:pPr>
            <w:r w:rsidRPr="00C64973">
              <w:rPr>
                <w:szCs w:val="24"/>
              </w:rPr>
              <w:t>2</w:t>
            </w:r>
          </w:p>
        </w:tc>
        <w:tc>
          <w:tcPr>
            <w:tcW w:w="1200" w:type="dxa"/>
            <w:shd w:val="clear" w:color="auto" w:fill="auto"/>
            <w:vAlign w:val="center"/>
          </w:tcPr>
          <w:p w14:paraId="2409F19B" w14:textId="1628BC54" w:rsidR="00532547" w:rsidRPr="00C64973" w:rsidRDefault="004C4C54" w:rsidP="00E51125">
            <w:pPr>
              <w:spacing w:after="0" w:line="288" w:lineRule="auto"/>
              <w:jc w:val="center"/>
              <w:rPr>
                <w:szCs w:val="24"/>
              </w:rPr>
            </w:pPr>
            <w:r w:rsidRPr="00C64973">
              <w:rPr>
                <w:szCs w:val="24"/>
              </w:rPr>
              <w:t>8</w:t>
            </w:r>
          </w:p>
        </w:tc>
        <w:tc>
          <w:tcPr>
            <w:tcW w:w="1200" w:type="dxa"/>
            <w:shd w:val="clear" w:color="auto" w:fill="auto"/>
          </w:tcPr>
          <w:p w14:paraId="2C8698E8" w14:textId="13ACC96B" w:rsidR="00532547" w:rsidRPr="00C64973" w:rsidRDefault="00C3259B" w:rsidP="00E51125">
            <w:pPr>
              <w:spacing w:after="0" w:line="240" w:lineRule="auto"/>
              <w:jc w:val="center"/>
              <w:rPr>
                <w:rFonts w:cs="Arial"/>
                <w:szCs w:val="24"/>
              </w:rPr>
            </w:pPr>
            <w:r w:rsidRPr="00C64973">
              <w:rPr>
                <w:rFonts w:cs="Arial"/>
                <w:szCs w:val="24"/>
              </w:rPr>
              <w:t>8</w:t>
            </w:r>
          </w:p>
        </w:tc>
      </w:tr>
      <w:tr w:rsidR="002D4B42" w:rsidRPr="00C64973" w14:paraId="05BB13F8" w14:textId="77777777" w:rsidTr="004C4C54">
        <w:tc>
          <w:tcPr>
            <w:tcW w:w="2070" w:type="dxa"/>
            <w:shd w:val="clear" w:color="auto" w:fill="auto"/>
          </w:tcPr>
          <w:p w14:paraId="479AA1BD" w14:textId="77777777" w:rsidR="00532547" w:rsidRPr="00C64973" w:rsidRDefault="00532547" w:rsidP="00E51125">
            <w:pPr>
              <w:spacing w:after="0" w:line="288" w:lineRule="auto"/>
              <w:rPr>
                <w:rFonts w:eastAsia="MS Mincho"/>
                <w:i/>
                <w:iCs/>
                <w:szCs w:val="24"/>
              </w:rPr>
            </w:pPr>
            <w:r w:rsidRPr="00C64973">
              <w:rPr>
                <w:b/>
                <w:bCs/>
                <w:szCs w:val="24"/>
              </w:rPr>
              <w:t>Dually certified</w:t>
            </w:r>
          </w:p>
        </w:tc>
        <w:tc>
          <w:tcPr>
            <w:tcW w:w="1200" w:type="dxa"/>
            <w:shd w:val="clear" w:color="auto" w:fill="auto"/>
            <w:vAlign w:val="center"/>
          </w:tcPr>
          <w:p w14:paraId="123B9B0B" w14:textId="511B851B" w:rsidR="00532547" w:rsidRPr="00C64973" w:rsidRDefault="004C4C54" w:rsidP="00E51125">
            <w:pPr>
              <w:spacing w:after="0" w:line="288" w:lineRule="auto"/>
              <w:jc w:val="center"/>
              <w:rPr>
                <w:szCs w:val="24"/>
              </w:rPr>
            </w:pPr>
            <w:r w:rsidRPr="00C64973">
              <w:rPr>
                <w:szCs w:val="24"/>
              </w:rPr>
              <w:t>4</w:t>
            </w:r>
          </w:p>
        </w:tc>
        <w:tc>
          <w:tcPr>
            <w:tcW w:w="1200" w:type="dxa"/>
            <w:shd w:val="clear" w:color="auto" w:fill="auto"/>
            <w:vAlign w:val="center"/>
          </w:tcPr>
          <w:p w14:paraId="13B79E22" w14:textId="5F9844DC" w:rsidR="00532547" w:rsidRPr="00C64973" w:rsidRDefault="004C4C54" w:rsidP="00E51125">
            <w:pPr>
              <w:spacing w:after="0" w:line="288" w:lineRule="auto"/>
              <w:jc w:val="center"/>
              <w:rPr>
                <w:szCs w:val="24"/>
              </w:rPr>
            </w:pPr>
            <w:r w:rsidRPr="00C64973">
              <w:rPr>
                <w:szCs w:val="24"/>
              </w:rPr>
              <w:t>5</w:t>
            </w:r>
          </w:p>
        </w:tc>
        <w:tc>
          <w:tcPr>
            <w:tcW w:w="1200" w:type="dxa"/>
            <w:shd w:val="clear" w:color="auto" w:fill="auto"/>
          </w:tcPr>
          <w:p w14:paraId="063A4D7B" w14:textId="07F9EDF6" w:rsidR="00532547" w:rsidRPr="00C64973" w:rsidRDefault="004C4C54" w:rsidP="00E51125">
            <w:pPr>
              <w:spacing w:after="0" w:line="240" w:lineRule="auto"/>
              <w:jc w:val="center"/>
              <w:rPr>
                <w:rFonts w:cs="Arial"/>
                <w:szCs w:val="24"/>
              </w:rPr>
            </w:pPr>
            <w:r w:rsidRPr="00C64973">
              <w:rPr>
                <w:rFonts w:cs="Arial"/>
                <w:szCs w:val="24"/>
              </w:rPr>
              <w:t>6</w:t>
            </w:r>
          </w:p>
        </w:tc>
      </w:tr>
      <w:tr w:rsidR="002D4B42" w:rsidRPr="00C64973" w14:paraId="3A5188D6" w14:textId="77777777" w:rsidTr="004C4C54">
        <w:tc>
          <w:tcPr>
            <w:tcW w:w="2070" w:type="dxa"/>
            <w:shd w:val="clear" w:color="auto" w:fill="auto"/>
          </w:tcPr>
          <w:p w14:paraId="74F9D1FB" w14:textId="77777777" w:rsidR="00532547" w:rsidRPr="00C64973" w:rsidRDefault="00532547" w:rsidP="00E51125">
            <w:pPr>
              <w:spacing w:after="0" w:line="288" w:lineRule="auto"/>
              <w:rPr>
                <w:b/>
                <w:bCs/>
                <w:szCs w:val="24"/>
              </w:rPr>
            </w:pPr>
            <w:r w:rsidRPr="00C64973">
              <w:rPr>
                <w:b/>
                <w:bCs/>
                <w:szCs w:val="24"/>
              </w:rPr>
              <w:t>Total</w:t>
            </w:r>
          </w:p>
        </w:tc>
        <w:tc>
          <w:tcPr>
            <w:tcW w:w="1200" w:type="dxa"/>
            <w:shd w:val="clear" w:color="auto" w:fill="auto"/>
          </w:tcPr>
          <w:p w14:paraId="2EF96F90" w14:textId="351CFE02" w:rsidR="00532547" w:rsidRPr="00C64973" w:rsidRDefault="004C4C54" w:rsidP="00E51125">
            <w:pPr>
              <w:spacing w:after="0" w:line="288" w:lineRule="auto"/>
              <w:jc w:val="center"/>
              <w:rPr>
                <w:b/>
                <w:bCs/>
                <w:szCs w:val="24"/>
              </w:rPr>
            </w:pPr>
            <w:r w:rsidRPr="00C64973">
              <w:rPr>
                <w:b/>
                <w:bCs/>
                <w:szCs w:val="24"/>
              </w:rPr>
              <w:t>39</w:t>
            </w:r>
          </w:p>
        </w:tc>
        <w:tc>
          <w:tcPr>
            <w:tcW w:w="1200" w:type="dxa"/>
            <w:shd w:val="clear" w:color="auto" w:fill="auto"/>
          </w:tcPr>
          <w:p w14:paraId="3239B803" w14:textId="3385C836" w:rsidR="00532547" w:rsidRPr="00C64973" w:rsidRDefault="004C4C54" w:rsidP="00E51125">
            <w:pPr>
              <w:spacing w:after="0" w:line="288" w:lineRule="auto"/>
              <w:jc w:val="center"/>
              <w:rPr>
                <w:b/>
                <w:bCs/>
                <w:szCs w:val="24"/>
              </w:rPr>
            </w:pPr>
            <w:r w:rsidRPr="00C64973">
              <w:rPr>
                <w:b/>
                <w:bCs/>
                <w:szCs w:val="24"/>
              </w:rPr>
              <w:t>44</w:t>
            </w:r>
          </w:p>
        </w:tc>
        <w:tc>
          <w:tcPr>
            <w:tcW w:w="1200" w:type="dxa"/>
            <w:shd w:val="clear" w:color="auto" w:fill="auto"/>
          </w:tcPr>
          <w:p w14:paraId="6B55169E" w14:textId="68607AE4" w:rsidR="00532547" w:rsidRPr="00C64973" w:rsidRDefault="004C4C54" w:rsidP="00E51125">
            <w:pPr>
              <w:spacing w:after="0" w:line="288" w:lineRule="auto"/>
              <w:jc w:val="center"/>
              <w:rPr>
                <w:b/>
                <w:bCs/>
                <w:szCs w:val="24"/>
              </w:rPr>
            </w:pPr>
            <w:r w:rsidRPr="00C64973">
              <w:rPr>
                <w:b/>
                <w:bCs/>
                <w:szCs w:val="24"/>
              </w:rPr>
              <w:t>49</w:t>
            </w:r>
          </w:p>
        </w:tc>
      </w:tr>
    </w:tbl>
    <w:p w14:paraId="532A5C8B" w14:textId="77777777" w:rsidR="0079337F" w:rsidRPr="00C64973" w:rsidRDefault="0079337F" w:rsidP="00532547">
      <w:pPr>
        <w:pStyle w:val="Heading2"/>
        <w:rPr>
          <w:noProof/>
        </w:rPr>
      </w:pPr>
      <w:bookmarkStart w:id="90" w:name="_Toc408835455"/>
    </w:p>
    <w:p w14:paraId="15FB1D73" w14:textId="757CE356" w:rsidR="00532547" w:rsidRPr="00C64973" w:rsidRDefault="00D202F9" w:rsidP="00532547">
      <w:pPr>
        <w:pStyle w:val="Heading2"/>
      </w:pPr>
      <w:bookmarkStart w:id="91" w:name="_Toc61607307"/>
      <w:r w:rsidRPr="00C64973">
        <w:rPr>
          <w:noProof/>
        </w:rPr>
        <w:t>A</w:t>
      </w:r>
      <w:r w:rsidR="00532547" w:rsidRPr="00C64973">
        <w:rPr>
          <w:noProof/>
        </w:rPr>
        <w:t>ttrition</w:t>
      </w:r>
      <w:r w:rsidRPr="00C64973">
        <w:rPr>
          <w:noProof/>
        </w:rPr>
        <w:t xml:space="preserve"> factors</w:t>
      </w:r>
      <w:bookmarkEnd w:id="91"/>
      <w:r w:rsidRPr="00C64973">
        <w:rPr>
          <w:noProof/>
        </w:rPr>
        <w:t xml:space="preserve"> </w:t>
      </w:r>
      <w:bookmarkEnd w:id="90"/>
    </w:p>
    <w:p w14:paraId="7B51400B" w14:textId="462AED4A" w:rsidR="00445F9C" w:rsidRPr="00C64973" w:rsidRDefault="00445F9C" w:rsidP="00AF0146">
      <w:pPr>
        <w:spacing w:line="288" w:lineRule="auto"/>
        <w:rPr>
          <w:b/>
          <w:i/>
        </w:rPr>
      </w:pPr>
      <w:r w:rsidRPr="00C64973">
        <w:rPr>
          <w:b/>
          <w:i/>
        </w:rPr>
        <w:t xml:space="preserve">Students with visual impairments are a low-prevalence and extremely diverse population. VI professionals are critical to student learning, therefore, a change of just one VI professional in a single district can have a dramatic effect on the annual yearly progress of </w:t>
      </w:r>
      <w:r w:rsidR="003A4B76">
        <w:rPr>
          <w:b/>
          <w:i/>
        </w:rPr>
        <w:t xml:space="preserve">their </w:t>
      </w:r>
      <w:r w:rsidRPr="00C64973">
        <w:rPr>
          <w:b/>
          <w:i/>
        </w:rPr>
        <w:t xml:space="preserve">students. </w:t>
      </w:r>
    </w:p>
    <w:p w14:paraId="6EB70344" w14:textId="0254715B" w:rsidR="00AF0146" w:rsidRPr="00C64973" w:rsidRDefault="000E73E0" w:rsidP="00AF0146">
      <w:pPr>
        <w:spacing w:line="288" w:lineRule="auto"/>
      </w:pPr>
      <w:r w:rsidRPr="00C64973">
        <w:t>Retention of VI professionals is</w:t>
      </w:r>
      <w:r w:rsidR="00532547" w:rsidRPr="00C64973">
        <w:t xml:space="preserve"> of critical concern. </w:t>
      </w:r>
      <w:r w:rsidR="00EF2BF4" w:rsidRPr="00C64973">
        <w:t>U</w:t>
      </w:r>
      <w:r w:rsidR="00532547" w:rsidRPr="00C64973">
        <w:t>nlike other disciplines, even</w:t>
      </w:r>
      <w:r w:rsidR="008F1B51" w:rsidRPr="00C64973">
        <w:t xml:space="preserve"> in other high-need subject areas</w:t>
      </w:r>
      <w:r w:rsidR="00532547" w:rsidRPr="00C64973">
        <w:t>, when a VI profess</w:t>
      </w:r>
      <w:r w:rsidR="0026021A" w:rsidRPr="00C64973">
        <w:t xml:space="preserve">ional is unavailable, often </w:t>
      </w:r>
      <w:r w:rsidR="00532547" w:rsidRPr="00C64973">
        <w:t xml:space="preserve">there is no one else in the district with the specific expertise needed to assess and meet the unique educational needs of students with visual impairments. </w:t>
      </w:r>
    </w:p>
    <w:p w14:paraId="54E6820E" w14:textId="06DF914E" w:rsidR="001D59D3" w:rsidRPr="00C64973" w:rsidRDefault="00AD5C7E" w:rsidP="00661DD6">
      <w:pPr>
        <w:spacing w:line="288" w:lineRule="auto"/>
      </w:pPr>
      <w:r w:rsidRPr="00C64973">
        <w:t>Factor</w:t>
      </w:r>
      <w:r w:rsidR="004A7278" w:rsidRPr="00C64973">
        <w:t xml:space="preserve">s that consistently impact </w:t>
      </w:r>
      <w:r w:rsidR="008C6E66" w:rsidRPr="00C64973">
        <w:t>recruitment</w:t>
      </w:r>
      <w:r w:rsidR="004A7278" w:rsidRPr="00C64973">
        <w:t xml:space="preserve"> and attrition of general and special education classroom teachers influence VI professionals as well. </w:t>
      </w:r>
      <w:r w:rsidR="00176516" w:rsidRPr="00C64973">
        <w:t xml:space="preserve">Administrative support, </w:t>
      </w:r>
      <w:r w:rsidR="00EB791B" w:rsidRPr="00C64973">
        <w:t>workload</w:t>
      </w:r>
      <w:r w:rsidR="000242D4" w:rsidRPr="00C64973">
        <w:t xml:space="preserve">, working conditions and </w:t>
      </w:r>
      <w:r w:rsidR="00204E46" w:rsidRPr="00C64973">
        <w:t xml:space="preserve">support in their new role </w:t>
      </w:r>
      <w:r w:rsidR="00862637" w:rsidRPr="00C64973">
        <w:t>a</w:t>
      </w:r>
      <w:r w:rsidR="000242D4" w:rsidRPr="00C64973">
        <w:t>re among attrition</w:t>
      </w:r>
      <w:r w:rsidR="0011120D" w:rsidRPr="00C64973">
        <w:t xml:space="preserve"> factors reported in the most current research</w:t>
      </w:r>
      <w:r w:rsidR="00EB791B" w:rsidRPr="00C64973">
        <w:t>. Add</w:t>
      </w:r>
      <w:r w:rsidR="000C4821" w:rsidRPr="00C64973">
        <w:t xml:space="preserve">itional considerations unique </w:t>
      </w:r>
      <w:r w:rsidR="00EB791B" w:rsidRPr="00C64973">
        <w:t xml:space="preserve">to the attrition </w:t>
      </w:r>
      <w:r w:rsidR="0011120D" w:rsidRPr="00C64973">
        <w:t xml:space="preserve">and retention </w:t>
      </w:r>
      <w:r w:rsidR="003A4B76">
        <w:t>of the VI professional are:</w:t>
      </w:r>
    </w:p>
    <w:p w14:paraId="31F96E85" w14:textId="5A1E5347" w:rsidR="00D609C9" w:rsidRPr="00C64973" w:rsidRDefault="00D609C9" w:rsidP="00D609C9">
      <w:pPr>
        <w:pStyle w:val="ListParagraph"/>
        <w:numPr>
          <w:ilvl w:val="0"/>
          <w:numId w:val="15"/>
        </w:numPr>
        <w:spacing w:line="288" w:lineRule="auto"/>
      </w:pPr>
      <w:r w:rsidRPr="00C64973">
        <w:t>VI professionals have a unique skill-set and can be difficult to find.</w:t>
      </w:r>
    </w:p>
    <w:p w14:paraId="13AC6B61" w14:textId="67C9EA65" w:rsidR="00EB791B" w:rsidRPr="00C64973" w:rsidRDefault="00723F4D" w:rsidP="0011120D">
      <w:pPr>
        <w:pStyle w:val="ListParagraph"/>
        <w:numPr>
          <w:ilvl w:val="0"/>
          <w:numId w:val="15"/>
        </w:numPr>
        <w:spacing w:line="288" w:lineRule="auto"/>
      </w:pPr>
      <w:r w:rsidRPr="00C64973">
        <w:t>TVI</w:t>
      </w:r>
      <w:r w:rsidR="00DD2CAB" w:rsidRPr="00C64973">
        <w:t>s make up less than 0.2</w:t>
      </w:r>
      <w:r w:rsidR="00661DD6" w:rsidRPr="00C64973">
        <w:t xml:space="preserve">% of certified teachers in Texas and O&amp;M Specialists are an even smaller group. Consequently, most </w:t>
      </w:r>
      <w:r w:rsidR="00862637" w:rsidRPr="00C64973">
        <w:t xml:space="preserve">administrators and </w:t>
      </w:r>
      <w:r w:rsidR="00661DD6" w:rsidRPr="00C64973">
        <w:t xml:space="preserve">educators </w:t>
      </w:r>
      <w:r w:rsidR="00862637" w:rsidRPr="00C64973">
        <w:t xml:space="preserve">are unaware of the </w:t>
      </w:r>
      <w:r w:rsidR="00EB791B" w:rsidRPr="00C64973">
        <w:t>VI field and the specialized services that a VI professional provides</w:t>
      </w:r>
      <w:r w:rsidR="00661DD6" w:rsidRPr="00C64973">
        <w:t xml:space="preserve">. </w:t>
      </w:r>
    </w:p>
    <w:p w14:paraId="0FC53D84" w14:textId="2F0F965F" w:rsidR="0011120D" w:rsidRPr="00C64973" w:rsidRDefault="0011120D" w:rsidP="0011120D">
      <w:pPr>
        <w:pStyle w:val="ListParagraph"/>
        <w:numPr>
          <w:ilvl w:val="0"/>
          <w:numId w:val="15"/>
        </w:numPr>
        <w:spacing w:line="288" w:lineRule="auto"/>
      </w:pPr>
      <w:r w:rsidRPr="00C64973">
        <w:t>Most VI professionals are mid-career professionals and are likely</w:t>
      </w:r>
      <w:r w:rsidR="002D7AAA" w:rsidRPr="00C64973">
        <w:t xml:space="preserve"> to have shorter careers in their</w:t>
      </w:r>
      <w:r w:rsidRPr="00C64973">
        <w:t xml:space="preserve"> second field.</w:t>
      </w:r>
    </w:p>
    <w:p w14:paraId="3CEE8F00" w14:textId="77777777" w:rsidR="00F407D3" w:rsidRPr="00C64973" w:rsidRDefault="00F407D3" w:rsidP="00F407D3">
      <w:pPr>
        <w:pStyle w:val="ListParagraph"/>
        <w:spacing w:line="288" w:lineRule="auto"/>
        <w:ind w:left="0"/>
      </w:pPr>
    </w:p>
    <w:p w14:paraId="48F99792" w14:textId="31A4ACAC" w:rsidR="00A170C2" w:rsidRPr="00C64973" w:rsidRDefault="00A170C2" w:rsidP="00AD3EED">
      <w:pPr>
        <w:pStyle w:val="ListParagraph"/>
        <w:spacing w:line="288" w:lineRule="auto"/>
        <w:ind w:left="0"/>
      </w:pPr>
      <w:r w:rsidRPr="00C64973">
        <w:t xml:space="preserve">As mentioned previously, the current attrition </w:t>
      </w:r>
      <w:r w:rsidR="000E73E0" w:rsidRPr="00C64973">
        <w:t>rate for VI professionals is 5</w:t>
      </w:r>
      <w:r w:rsidRPr="00C64973">
        <w:t>%. This might sound small</w:t>
      </w:r>
      <w:r w:rsidR="00313C0D" w:rsidRPr="00C64973">
        <w:t xml:space="preserve">, however, the loss of </w:t>
      </w:r>
      <w:r w:rsidR="000E73E0" w:rsidRPr="00C64973">
        <w:t>49</w:t>
      </w:r>
      <w:r w:rsidRPr="00C64973">
        <w:t xml:space="preserve"> individuals </w:t>
      </w:r>
      <w:r w:rsidR="000242D4" w:rsidRPr="00C64973">
        <w:t xml:space="preserve">this year </w:t>
      </w:r>
      <w:r w:rsidRPr="00C64973">
        <w:t>can have a critical impact on students with visual impair</w:t>
      </w:r>
      <w:r w:rsidR="003A4B76">
        <w:t xml:space="preserve">ments </w:t>
      </w:r>
      <w:r w:rsidR="00AF0146" w:rsidRPr="00C64973">
        <w:t>as</w:t>
      </w:r>
      <w:r w:rsidR="003A4B76">
        <w:t xml:space="preserve"> there is a limited number of qualified individuals</w:t>
      </w:r>
      <w:r w:rsidRPr="00C64973">
        <w:t xml:space="preserve"> to replace them. </w:t>
      </w:r>
    </w:p>
    <w:p w14:paraId="5E5AD61E" w14:textId="131FCD6C" w:rsidR="00362C70" w:rsidRPr="00C64973" w:rsidRDefault="00362C70" w:rsidP="00362C70">
      <w:pPr>
        <w:pStyle w:val="Heading2"/>
      </w:pPr>
      <w:bookmarkStart w:id="92" w:name="_Toc284342468"/>
      <w:bookmarkStart w:id="93" w:name="_Toc347126904"/>
      <w:bookmarkStart w:id="94" w:name="_Toc347127171"/>
      <w:bookmarkStart w:id="95" w:name="_Toc408835456"/>
      <w:bookmarkStart w:id="96" w:name="_Toc61607308"/>
      <w:r w:rsidRPr="00C64973">
        <w:t>Projected 3-year attrition</w:t>
      </w:r>
      <w:bookmarkEnd w:id="92"/>
      <w:bookmarkEnd w:id="93"/>
      <w:bookmarkEnd w:id="94"/>
      <w:bookmarkEnd w:id="95"/>
      <w:bookmarkEnd w:id="96"/>
    </w:p>
    <w:p w14:paraId="4618605B" w14:textId="66B5A2BC" w:rsidR="00445F9C" w:rsidRPr="00C64973" w:rsidRDefault="00445F9C" w:rsidP="00445F9C">
      <w:pPr>
        <w:rPr>
          <w:b/>
          <w:i/>
        </w:rPr>
      </w:pPr>
      <w:r w:rsidRPr="00C64973">
        <w:rPr>
          <w:rFonts w:cs="Calibri"/>
          <w:b/>
          <w:i/>
        </w:rPr>
        <w:t>ESC c</w:t>
      </w:r>
      <w:r w:rsidRPr="00C64973">
        <w:rPr>
          <w:b/>
          <w:i/>
        </w:rPr>
        <w:t>onsul</w:t>
      </w:r>
      <w:r w:rsidR="000E73E0" w:rsidRPr="00C64973">
        <w:rPr>
          <w:b/>
          <w:i/>
        </w:rPr>
        <w:t>tants project that, overall, 129</w:t>
      </w:r>
      <w:r w:rsidRPr="00C64973">
        <w:rPr>
          <w:b/>
          <w:i/>
        </w:rPr>
        <w:t xml:space="preserve"> VI professionals will leave the field within the </w:t>
      </w:r>
      <w:r w:rsidRPr="00C64973">
        <w:rPr>
          <w:rFonts w:cs="Calibri"/>
          <w:b/>
          <w:i/>
        </w:rPr>
        <w:t>next 3 years.</w:t>
      </w:r>
    </w:p>
    <w:p w14:paraId="461A2D9B" w14:textId="0E6092E3" w:rsidR="00362C70" w:rsidRPr="00C64973" w:rsidRDefault="00362C70" w:rsidP="00362C70">
      <w:pPr>
        <w:spacing w:line="288" w:lineRule="auto"/>
        <w:rPr>
          <w:rFonts w:cs="Calibri"/>
        </w:rPr>
      </w:pPr>
      <w:r w:rsidRPr="00C64973">
        <w:rPr>
          <w:rFonts w:cs="Calibri"/>
        </w:rPr>
        <w:t xml:space="preserve">Projected attrition data is valuable for predicting and preparing for the VI professionals needed in the near future. </w:t>
      </w:r>
      <w:r w:rsidR="00FE6389" w:rsidRPr="00C64973">
        <w:rPr>
          <w:rFonts w:cs="Calibri"/>
        </w:rPr>
        <w:t>VI consultants at the ESCs are the best and only source for information on future attrition for VI professionals</w:t>
      </w:r>
      <w:r w:rsidR="00C74246" w:rsidRPr="00C64973">
        <w:rPr>
          <w:rFonts w:cs="Calibri"/>
        </w:rPr>
        <w:t>. G</w:t>
      </w:r>
      <w:r w:rsidR="00466CD0" w:rsidRPr="00C64973">
        <w:rPr>
          <w:rFonts w:cs="Calibri"/>
        </w:rPr>
        <w:t>athering accurate data regarding a VI professional’s retirement plans can be challenging.</w:t>
      </w:r>
      <w:r w:rsidR="00FE6389" w:rsidRPr="00C64973">
        <w:rPr>
          <w:rFonts w:cs="Calibri"/>
        </w:rPr>
        <w:t xml:space="preserve"> </w:t>
      </w:r>
      <w:r w:rsidRPr="00C64973">
        <w:rPr>
          <w:rFonts w:cs="Calibri"/>
        </w:rPr>
        <w:t>In general, VI consultants at the ESCs must rely on others f</w:t>
      </w:r>
      <w:r w:rsidR="007E1FB0" w:rsidRPr="00C64973">
        <w:rPr>
          <w:rFonts w:cs="Calibri"/>
        </w:rPr>
        <w:t xml:space="preserve">or the information. Some people </w:t>
      </w:r>
      <w:r w:rsidRPr="00C64973">
        <w:rPr>
          <w:rFonts w:cs="Calibri"/>
        </w:rPr>
        <w:t>may be reluctant to share their plans or their plans may change in the interim period. Others may retire from their job, but take another cont</w:t>
      </w:r>
      <w:r w:rsidR="0031656F" w:rsidRPr="00C64973">
        <w:rPr>
          <w:rFonts w:cs="Calibri"/>
        </w:rPr>
        <w:t>ractual job in another district</w:t>
      </w:r>
      <w:r w:rsidR="00A23D50" w:rsidRPr="00C64973">
        <w:rPr>
          <w:rFonts w:cs="Calibri"/>
        </w:rPr>
        <w:t xml:space="preserve">. </w:t>
      </w:r>
      <w:r w:rsidR="009321C2" w:rsidRPr="00C64973">
        <w:rPr>
          <w:rFonts w:cs="Calibri"/>
        </w:rPr>
        <w:t xml:space="preserve">Historically, </w:t>
      </w:r>
      <w:r w:rsidR="0027430C" w:rsidRPr="00C64973">
        <w:rPr>
          <w:rFonts w:cs="Calibri"/>
        </w:rPr>
        <w:t xml:space="preserve">projection totals </w:t>
      </w:r>
      <w:r w:rsidRPr="00C64973">
        <w:rPr>
          <w:rFonts w:cs="Calibri"/>
        </w:rPr>
        <w:t xml:space="preserve">are below actual </w:t>
      </w:r>
      <w:r w:rsidR="00FE6389" w:rsidRPr="00C64973">
        <w:rPr>
          <w:rFonts w:cs="Calibri"/>
        </w:rPr>
        <w:t>attrition</w:t>
      </w:r>
      <w:r w:rsidR="004179C2" w:rsidRPr="00C64973">
        <w:rPr>
          <w:rFonts w:cs="Calibri"/>
        </w:rPr>
        <w:t xml:space="preserve">, especially </w:t>
      </w:r>
      <w:r w:rsidR="0027430C" w:rsidRPr="00C64973">
        <w:rPr>
          <w:rFonts w:cs="Calibri"/>
        </w:rPr>
        <w:t xml:space="preserve">for </w:t>
      </w:r>
      <w:r w:rsidR="00723F4D" w:rsidRPr="00C64973">
        <w:rPr>
          <w:rFonts w:cs="Calibri"/>
        </w:rPr>
        <w:t>TVI</w:t>
      </w:r>
      <w:r w:rsidR="0027430C" w:rsidRPr="00C64973">
        <w:rPr>
          <w:rFonts w:cs="Calibri"/>
        </w:rPr>
        <w:t>s</w:t>
      </w:r>
      <w:r w:rsidR="004179C2" w:rsidRPr="00C64973">
        <w:rPr>
          <w:rFonts w:cs="Calibri"/>
        </w:rPr>
        <w:t xml:space="preserve">. ESCs tend to project </w:t>
      </w:r>
      <w:r w:rsidR="005E1820" w:rsidRPr="00C64973">
        <w:rPr>
          <w:rFonts w:cs="Calibri"/>
        </w:rPr>
        <w:t xml:space="preserve">that </w:t>
      </w:r>
      <w:r w:rsidR="004179C2" w:rsidRPr="00C64973">
        <w:rPr>
          <w:rFonts w:cs="Calibri"/>
        </w:rPr>
        <w:t>a higher number of COMS will l</w:t>
      </w:r>
      <w:r w:rsidR="000242D4" w:rsidRPr="00C64973">
        <w:rPr>
          <w:rFonts w:cs="Calibri"/>
        </w:rPr>
        <w:t>eave the field than actually do, however,</w:t>
      </w:r>
      <w:r w:rsidR="00C74246" w:rsidRPr="00C64973">
        <w:rPr>
          <w:rFonts w:cs="Calibri"/>
        </w:rPr>
        <w:t xml:space="preserve"> </w:t>
      </w:r>
      <w:r w:rsidR="000242D4" w:rsidRPr="00C64973">
        <w:rPr>
          <w:rFonts w:cs="Calibri"/>
        </w:rPr>
        <w:t>t</w:t>
      </w:r>
      <w:r w:rsidR="00583548" w:rsidRPr="00C64973">
        <w:rPr>
          <w:rFonts w:cs="Calibri"/>
        </w:rPr>
        <w:t>his year was an exception</w:t>
      </w:r>
      <w:r w:rsidR="000242D4" w:rsidRPr="00C64973">
        <w:rPr>
          <w:rFonts w:cs="Calibri"/>
        </w:rPr>
        <w:t xml:space="preserve">. In </w:t>
      </w:r>
      <w:r w:rsidR="00583548" w:rsidRPr="00C64973">
        <w:rPr>
          <w:rFonts w:cs="Calibri"/>
        </w:rPr>
        <w:t xml:space="preserve">2018 ESCs estimated that 28 COMS would leave the field </w:t>
      </w:r>
      <w:r w:rsidR="000242D4" w:rsidRPr="00C64973">
        <w:rPr>
          <w:rFonts w:cs="Calibri"/>
        </w:rPr>
        <w:t>by 2020</w:t>
      </w:r>
      <w:r w:rsidR="00583548" w:rsidRPr="00C64973">
        <w:rPr>
          <w:rFonts w:cs="Calibri"/>
        </w:rPr>
        <w:t xml:space="preserve"> and 33</w:t>
      </w:r>
      <w:r w:rsidR="000242D4" w:rsidRPr="00C64973">
        <w:rPr>
          <w:rFonts w:cs="Calibri"/>
        </w:rPr>
        <w:t xml:space="preserve"> ended up leaving this year</w:t>
      </w:r>
      <w:r w:rsidR="003A4B76">
        <w:rPr>
          <w:rFonts w:cs="Calibri"/>
        </w:rPr>
        <w:t>. Still, the estimate was a</w:t>
      </w:r>
      <w:r w:rsidR="00583548" w:rsidRPr="00C64973">
        <w:rPr>
          <w:rFonts w:cs="Calibri"/>
        </w:rPr>
        <w:t xml:space="preserve"> very close projection. </w:t>
      </w:r>
    </w:p>
    <w:p w14:paraId="756C7512" w14:textId="591B44F0" w:rsidR="006950E1" w:rsidRPr="00122293" w:rsidRDefault="00C74246" w:rsidP="00362C70">
      <w:pPr>
        <w:spacing w:line="288" w:lineRule="auto"/>
        <w:rPr>
          <w:rFonts w:cs="Calibri"/>
        </w:rPr>
      </w:pPr>
      <w:r w:rsidRPr="00C64973">
        <w:rPr>
          <w:rFonts w:cs="Calibri"/>
        </w:rPr>
        <w:t xml:space="preserve">Individuals who function as dually certified have both VI and O&amp;M expertise. Projecting the attrition of dually certified personnel appears to be especially difficult with a reliable degree of accuracy. This is a fluid group. Based on district need, an individual may function as dually certified one year but not the next. The information below includes individuals who are dually certified in both categories (and cannot be added). The “Overall” data reflects all VI professionals and has been adjusted for dually certified VI professionals. </w:t>
      </w:r>
      <w:r w:rsidR="00DE3184" w:rsidRPr="00C64973">
        <w:rPr>
          <w:rFonts w:cs="Calibri"/>
          <w:color w:val="000000" w:themeColor="text1"/>
        </w:rPr>
        <w:t>I</w:t>
      </w:r>
      <w:r w:rsidRPr="00C64973">
        <w:rPr>
          <w:rFonts w:cs="Calibri"/>
          <w:color w:val="000000" w:themeColor="text1"/>
        </w:rPr>
        <w:t xml:space="preserve">t is important to note </w:t>
      </w:r>
      <w:r w:rsidR="00DE3184" w:rsidRPr="00C64973">
        <w:rPr>
          <w:rFonts w:cs="Calibri"/>
          <w:color w:val="000000" w:themeColor="text1"/>
        </w:rPr>
        <w:t xml:space="preserve">that the data addresses individuals </w:t>
      </w:r>
      <w:r w:rsidR="00362C70" w:rsidRPr="00C64973">
        <w:rPr>
          <w:rFonts w:cs="Calibri"/>
          <w:color w:val="000000" w:themeColor="text1"/>
        </w:rPr>
        <w:t xml:space="preserve">who will </w:t>
      </w:r>
      <w:r w:rsidR="00362C70" w:rsidRPr="00C64973">
        <w:rPr>
          <w:rFonts w:cs="Calibri"/>
          <w:color w:val="000000" w:themeColor="text1"/>
          <w:u w:val="single"/>
        </w:rPr>
        <w:t>leave the field</w:t>
      </w:r>
      <w:r w:rsidR="00362C70" w:rsidRPr="00C64973">
        <w:rPr>
          <w:rFonts w:cs="Calibri"/>
          <w:color w:val="000000" w:themeColor="text1"/>
        </w:rPr>
        <w:t>. The data do not include those who move from school employment to private contractual work, change districts, or retire and re-hire in the same or a different district.</w:t>
      </w:r>
    </w:p>
    <w:p w14:paraId="422B8524" w14:textId="38DAC871" w:rsidR="00362C70" w:rsidRPr="00C64973" w:rsidRDefault="00362C70" w:rsidP="00362C70">
      <w:pPr>
        <w:pStyle w:val="Heading3"/>
      </w:pPr>
      <w:r w:rsidRPr="00C64973">
        <w:t xml:space="preserve">Table 9: Projected 3-Year Attrition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080"/>
        <w:gridCol w:w="1080"/>
        <w:gridCol w:w="1080"/>
      </w:tblGrid>
      <w:tr w:rsidR="00362C70" w:rsidRPr="00C64973" w14:paraId="06B3FDDA" w14:textId="77777777" w:rsidTr="00E51125">
        <w:tc>
          <w:tcPr>
            <w:tcW w:w="3240" w:type="dxa"/>
            <w:tcBorders>
              <w:top w:val="nil"/>
              <w:left w:val="nil"/>
              <w:right w:val="nil"/>
            </w:tcBorders>
            <w:vAlign w:val="bottom"/>
          </w:tcPr>
          <w:p w14:paraId="1A9F971D" w14:textId="77777777" w:rsidR="00362C70" w:rsidRPr="00C64973" w:rsidRDefault="00362C70" w:rsidP="00E51125">
            <w:pPr>
              <w:spacing w:after="0"/>
            </w:pPr>
            <w:r w:rsidRPr="00C64973">
              <w:rPr>
                <w:b/>
              </w:rPr>
              <w:t>Projections made in:</w:t>
            </w:r>
          </w:p>
        </w:tc>
        <w:tc>
          <w:tcPr>
            <w:tcW w:w="1080" w:type="dxa"/>
            <w:tcBorders>
              <w:top w:val="nil"/>
              <w:left w:val="nil"/>
              <w:right w:val="nil"/>
            </w:tcBorders>
            <w:vAlign w:val="bottom"/>
          </w:tcPr>
          <w:p w14:paraId="7774EFA0" w14:textId="1C80BBA9" w:rsidR="00362C70" w:rsidRPr="00C64973" w:rsidRDefault="000E73E0" w:rsidP="00E51125">
            <w:pPr>
              <w:spacing w:after="0"/>
              <w:jc w:val="center"/>
              <w:rPr>
                <w:b/>
              </w:rPr>
            </w:pPr>
            <w:r w:rsidRPr="00C64973">
              <w:rPr>
                <w:b/>
              </w:rPr>
              <w:t>2018</w:t>
            </w:r>
          </w:p>
        </w:tc>
        <w:tc>
          <w:tcPr>
            <w:tcW w:w="1080" w:type="dxa"/>
            <w:tcBorders>
              <w:top w:val="nil"/>
              <w:left w:val="nil"/>
              <w:right w:val="nil"/>
            </w:tcBorders>
            <w:vAlign w:val="bottom"/>
          </w:tcPr>
          <w:p w14:paraId="5C19C0E3" w14:textId="69ACC92C" w:rsidR="00362C70" w:rsidRPr="00C64973" w:rsidRDefault="000E73E0" w:rsidP="00E51125">
            <w:pPr>
              <w:spacing w:after="0"/>
              <w:jc w:val="center"/>
              <w:rPr>
                <w:b/>
              </w:rPr>
            </w:pPr>
            <w:r w:rsidRPr="00C64973">
              <w:rPr>
                <w:b/>
              </w:rPr>
              <w:t>2019</w:t>
            </w:r>
          </w:p>
        </w:tc>
        <w:tc>
          <w:tcPr>
            <w:tcW w:w="1080" w:type="dxa"/>
            <w:tcBorders>
              <w:top w:val="nil"/>
              <w:left w:val="nil"/>
              <w:right w:val="nil"/>
            </w:tcBorders>
            <w:vAlign w:val="bottom"/>
          </w:tcPr>
          <w:p w14:paraId="6309B6BB" w14:textId="1715F615" w:rsidR="00362C70" w:rsidRPr="00C64973" w:rsidRDefault="000E73E0" w:rsidP="00E51125">
            <w:pPr>
              <w:spacing w:after="0"/>
              <w:jc w:val="center"/>
              <w:rPr>
                <w:b/>
              </w:rPr>
            </w:pPr>
            <w:r w:rsidRPr="00C64973">
              <w:rPr>
                <w:b/>
              </w:rPr>
              <w:t>2020</w:t>
            </w:r>
          </w:p>
        </w:tc>
      </w:tr>
      <w:tr w:rsidR="00362C70" w:rsidRPr="00C64973" w14:paraId="4B559037" w14:textId="77777777" w:rsidTr="00E51125">
        <w:tc>
          <w:tcPr>
            <w:tcW w:w="3240" w:type="dxa"/>
          </w:tcPr>
          <w:p w14:paraId="421E4679" w14:textId="54BF7536" w:rsidR="00362C70" w:rsidRPr="00C64973" w:rsidRDefault="00723F4D" w:rsidP="00E51125">
            <w:pPr>
              <w:pStyle w:val="veroirsubtitulo"/>
              <w:spacing w:after="0" w:line="288" w:lineRule="auto"/>
              <w:rPr>
                <w:bCs/>
                <w:szCs w:val="24"/>
                <w:lang w:val="en-US"/>
              </w:rPr>
            </w:pPr>
            <w:r w:rsidRPr="00C64973">
              <w:rPr>
                <w:bCs/>
                <w:szCs w:val="24"/>
                <w:lang w:val="en-US"/>
              </w:rPr>
              <w:t>TVI</w:t>
            </w:r>
            <w:r w:rsidR="00362C70" w:rsidRPr="00C64973">
              <w:rPr>
                <w:bCs/>
                <w:szCs w:val="24"/>
                <w:lang w:val="en-US"/>
              </w:rPr>
              <w:t>s</w:t>
            </w:r>
            <w:r w:rsidR="00362C70" w:rsidRPr="00C64973">
              <w:rPr>
                <w:rFonts w:cs="Calibri"/>
                <w:sz w:val="18"/>
                <w:vertAlign w:val="superscript"/>
              </w:rPr>
              <w:t>1</w:t>
            </w:r>
          </w:p>
        </w:tc>
        <w:tc>
          <w:tcPr>
            <w:tcW w:w="1080" w:type="dxa"/>
            <w:vAlign w:val="bottom"/>
          </w:tcPr>
          <w:p w14:paraId="1E82653A" w14:textId="04B7E577" w:rsidR="00362C70" w:rsidRPr="00C64973" w:rsidRDefault="000E73E0" w:rsidP="00E51125">
            <w:pPr>
              <w:spacing w:after="0"/>
              <w:jc w:val="center"/>
            </w:pPr>
            <w:r w:rsidRPr="00C64973">
              <w:t>91</w:t>
            </w:r>
          </w:p>
        </w:tc>
        <w:tc>
          <w:tcPr>
            <w:tcW w:w="1080" w:type="dxa"/>
            <w:vAlign w:val="bottom"/>
          </w:tcPr>
          <w:p w14:paraId="0B7230AC" w14:textId="3A737085" w:rsidR="00362C70" w:rsidRPr="00C64973" w:rsidRDefault="000E73E0" w:rsidP="00E51125">
            <w:pPr>
              <w:spacing w:after="0"/>
              <w:jc w:val="center"/>
            </w:pPr>
            <w:r w:rsidRPr="00C64973">
              <w:t>92</w:t>
            </w:r>
          </w:p>
        </w:tc>
        <w:tc>
          <w:tcPr>
            <w:tcW w:w="1080" w:type="dxa"/>
            <w:vAlign w:val="bottom"/>
          </w:tcPr>
          <w:p w14:paraId="36C1FEB7" w14:textId="09BE3511" w:rsidR="00362C70" w:rsidRPr="00C64973" w:rsidRDefault="000E73E0" w:rsidP="000E73E0">
            <w:pPr>
              <w:spacing w:after="0"/>
              <w:jc w:val="center"/>
              <w:rPr>
                <w:rFonts w:cs="Arial"/>
                <w:szCs w:val="24"/>
              </w:rPr>
            </w:pPr>
            <w:r w:rsidRPr="00C64973">
              <w:rPr>
                <w:rFonts w:cs="Arial"/>
                <w:szCs w:val="24"/>
              </w:rPr>
              <w:t>100</w:t>
            </w:r>
          </w:p>
        </w:tc>
      </w:tr>
      <w:tr w:rsidR="00362C70" w:rsidRPr="00C64973" w14:paraId="551CAC0D" w14:textId="77777777" w:rsidTr="00E51125">
        <w:tc>
          <w:tcPr>
            <w:tcW w:w="3240" w:type="dxa"/>
          </w:tcPr>
          <w:p w14:paraId="2C8A70BD" w14:textId="2A0E230D" w:rsidR="00362C70" w:rsidRPr="00C64973" w:rsidRDefault="00D574E5" w:rsidP="00E51125">
            <w:pPr>
              <w:spacing w:after="0" w:line="288" w:lineRule="auto"/>
              <w:rPr>
                <w:rFonts w:eastAsia="MS Mincho"/>
                <w:i/>
                <w:iCs/>
                <w:szCs w:val="24"/>
              </w:rPr>
            </w:pPr>
            <w:r>
              <w:rPr>
                <w:b/>
                <w:bCs/>
                <w:szCs w:val="24"/>
              </w:rPr>
              <w:t>COMS</w:t>
            </w:r>
            <w:r w:rsidR="00362C70" w:rsidRPr="00C64973">
              <w:rPr>
                <w:rFonts w:cs="Calibri"/>
                <w:sz w:val="18"/>
                <w:vertAlign w:val="superscript"/>
              </w:rPr>
              <w:t>1</w:t>
            </w:r>
          </w:p>
        </w:tc>
        <w:tc>
          <w:tcPr>
            <w:tcW w:w="1080" w:type="dxa"/>
            <w:vAlign w:val="bottom"/>
          </w:tcPr>
          <w:p w14:paraId="5613C592" w14:textId="46B919C6" w:rsidR="00362C70" w:rsidRPr="00C64973" w:rsidRDefault="000E73E0" w:rsidP="00E51125">
            <w:pPr>
              <w:spacing w:after="0"/>
              <w:jc w:val="center"/>
            </w:pPr>
            <w:r w:rsidRPr="00C64973">
              <w:t>28</w:t>
            </w:r>
          </w:p>
        </w:tc>
        <w:tc>
          <w:tcPr>
            <w:tcW w:w="1080" w:type="dxa"/>
            <w:vAlign w:val="bottom"/>
          </w:tcPr>
          <w:p w14:paraId="4F8F53BF" w14:textId="561FD113" w:rsidR="00362C70" w:rsidRPr="00C64973" w:rsidRDefault="000E73E0" w:rsidP="00E51125">
            <w:pPr>
              <w:spacing w:after="0"/>
              <w:jc w:val="center"/>
            </w:pPr>
            <w:r w:rsidRPr="00C64973">
              <w:t>40</w:t>
            </w:r>
          </w:p>
        </w:tc>
        <w:tc>
          <w:tcPr>
            <w:tcW w:w="1080" w:type="dxa"/>
            <w:vAlign w:val="bottom"/>
          </w:tcPr>
          <w:p w14:paraId="488C9AD5" w14:textId="2A7F45FE" w:rsidR="00362C70" w:rsidRPr="00C64973" w:rsidRDefault="000E73E0" w:rsidP="000E73E0">
            <w:pPr>
              <w:spacing w:after="0"/>
              <w:jc w:val="center"/>
              <w:rPr>
                <w:rFonts w:cs="Arial"/>
                <w:szCs w:val="24"/>
              </w:rPr>
            </w:pPr>
            <w:r w:rsidRPr="00C64973">
              <w:rPr>
                <w:rFonts w:cs="Arial"/>
                <w:szCs w:val="24"/>
              </w:rPr>
              <w:t>45</w:t>
            </w:r>
          </w:p>
        </w:tc>
      </w:tr>
      <w:tr w:rsidR="00362C70" w:rsidRPr="00C64973" w14:paraId="5C0CA2A8" w14:textId="77777777" w:rsidTr="00E51125">
        <w:tc>
          <w:tcPr>
            <w:tcW w:w="3240" w:type="dxa"/>
          </w:tcPr>
          <w:p w14:paraId="48016449" w14:textId="0ADE11CE" w:rsidR="00362C70" w:rsidRPr="00C64973" w:rsidRDefault="00362C70" w:rsidP="00E51125">
            <w:pPr>
              <w:spacing w:after="0" w:line="288" w:lineRule="auto"/>
              <w:rPr>
                <w:b/>
                <w:bCs/>
              </w:rPr>
            </w:pPr>
            <w:r w:rsidRPr="00C64973">
              <w:rPr>
                <w:b/>
                <w:bCs/>
              </w:rPr>
              <w:t>Overall</w:t>
            </w:r>
            <w:r w:rsidRPr="00C64973">
              <w:rPr>
                <w:rFonts w:cs="Calibri"/>
                <w:sz w:val="18"/>
                <w:vertAlign w:val="superscript"/>
              </w:rPr>
              <w:t>1</w:t>
            </w:r>
          </w:p>
        </w:tc>
        <w:tc>
          <w:tcPr>
            <w:tcW w:w="1080" w:type="dxa"/>
            <w:vAlign w:val="bottom"/>
          </w:tcPr>
          <w:p w14:paraId="78711E21" w14:textId="3D78B904" w:rsidR="00362C70" w:rsidRPr="00C64973" w:rsidRDefault="000E73E0" w:rsidP="00E51125">
            <w:pPr>
              <w:spacing w:after="0"/>
              <w:jc w:val="center"/>
              <w:rPr>
                <w:bCs/>
              </w:rPr>
            </w:pPr>
            <w:r w:rsidRPr="00C64973">
              <w:rPr>
                <w:bCs/>
              </w:rPr>
              <w:t>109</w:t>
            </w:r>
          </w:p>
        </w:tc>
        <w:tc>
          <w:tcPr>
            <w:tcW w:w="1080" w:type="dxa"/>
            <w:vAlign w:val="bottom"/>
          </w:tcPr>
          <w:p w14:paraId="269DE17C" w14:textId="1D8809C9" w:rsidR="00362C70" w:rsidRPr="00C64973" w:rsidRDefault="000E73E0" w:rsidP="00E51125">
            <w:pPr>
              <w:spacing w:after="0"/>
              <w:jc w:val="center"/>
              <w:rPr>
                <w:bCs/>
              </w:rPr>
            </w:pPr>
            <w:r w:rsidRPr="00C64973">
              <w:rPr>
                <w:bCs/>
              </w:rPr>
              <w:t>120</w:t>
            </w:r>
          </w:p>
        </w:tc>
        <w:tc>
          <w:tcPr>
            <w:tcW w:w="1080" w:type="dxa"/>
            <w:vAlign w:val="bottom"/>
          </w:tcPr>
          <w:p w14:paraId="11E01184" w14:textId="72CF2EF3" w:rsidR="00362C70" w:rsidRPr="00C64973" w:rsidRDefault="000E73E0" w:rsidP="000E73E0">
            <w:pPr>
              <w:spacing w:after="0"/>
              <w:jc w:val="center"/>
              <w:rPr>
                <w:rFonts w:cs="Arial"/>
                <w:szCs w:val="24"/>
              </w:rPr>
            </w:pPr>
            <w:r w:rsidRPr="00C64973">
              <w:rPr>
                <w:rFonts w:cs="Arial"/>
                <w:szCs w:val="24"/>
              </w:rPr>
              <w:t>129</w:t>
            </w:r>
          </w:p>
        </w:tc>
      </w:tr>
    </w:tbl>
    <w:p w14:paraId="6BC8FF97" w14:textId="1D1E16A9" w:rsidR="00362C70" w:rsidRPr="00C64973" w:rsidRDefault="00877CFA" w:rsidP="00877CFA">
      <w:pPr>
        <w:pStyle w:val="NoSpacing"/>
        <w:ind w:left="720"/>
        <w:rPr>
          <w:sz w:val="18"/>
          <w:szCs w:val="18"/>
        </w:rPr>
      </w:pPr>
      <w:r w:rsidRPr="00C64973">
        <w:rPr>
          <w:rFonts w:cs="Calibri"/>
          <w:sz w:val="18"/>
          <w:szCs w:val="18"/>
          <w:vertAlign w:val="superscript"/>
        </w:rPr>
        <w:t>1</w:t>
      </w:r>
      <w:r w:rsidR="00362C70" w:rsidRPr="00C64973">
        <w:rPr>
          <w:sz w:val="18"/>
          <w:szCs w:val="18"/>
        </w:rPr>
        <w:t xml:space="preserve">Projections by ESC consultants reflect job expertise, not assignment. As a result, </w:t>
      </w:r>
      <w:r w:rsidR="00723F4D" w:rsidRPr="00C64973">
        <w:rPr>
          <w:sz w:val="18"/>
          <w:szCs w:val="18"/>
        </w:rPr>
        <w:t>TVI</w:t>
      </w:r>
      <w:r w:rsidR="00362C70" w:rsidRPr="00C64973">
        <w:rPr>
          <w:sz w:val="18"/>
          <w:szCs w:val="18"/>
        </w:rPr>
        <w:t xml:space="preserve">s and </w:t>
      </w:r>
      <w:r w:rsidR="00D574E5">
        <w:rPr>
          <w:sz w:val="18"/>
          <w:szCs w:val="18"/>
        </w:rPr>
        <w:t>COMS</w:t>
      </w:r>
      <w:r w:rsidR="00362C70" w:rsidRPr="00C64973">
        <w:rPr>
          <w:sz w:val="18"/>
          <w:szCs w:val="18"/>
        </w:rPr>
        <w:t xml:space="preserve"> include data for dually certified staff and </w:t>
      </w:r>
      <w:r w:rsidR="00362C70" w:rsidRPr="00C64973">
        <w:rPr>
          <w:sz w:val="18"/>
          <w:szCs w:val="18"/>
          <w:u w:val="single"/>
        </w:rPr>
        <w:t>cannot be totaled</w:t>
      </w:r>
      <w:r w:rsidR="00362C70" w:rsidRPr="00C64973">
        <w:rPr>
          <w:sz w:val="18"/>
          <w:szCs w:val="18"/>
        </w:rPr>
        <w:t>. “Overall” includes all VI professionals and is adjusted for dually certified VI professionals.</w:t>
      </w:r>
    </w:p>
    <w:p w14:paraId="2F3C9F75" w14:textId="199C112B" w:rsidR="00877CFA" w:rsidRPr="00C64973" w:rsidRDefault="00877CFA" w:rsidP="00877CFA">
      <w:pPr>
        <w:pStyle w:val="NoSpacing"/>
      </w:pPr>
    </w:p>
    <w:p w14:paraId="190227AA" w14:textId="258CBD4A" w:rsidR="00362C70" w:rsidRPr="00C64973" w:rsidRDefault="00CB18FC" w:rsidP="00362C70">
      <w:pPr>
        <w:spacing w:line="288" w:lineRule="auto"/>
        <w:rPr>
          <w:rFonts w:cs="Calibri"/>
        </w:rPr>
      </w:pPr>
      <w:r w:rsidRPr="00C64973">
        <w:rPr>
          <w:rFonts w:cs="Calibri"/>
        </w:rPr>
        <w:t>In 2020</w:t>
      </w:r>
      <w:r w:rsidR="00C74246" w:rsidRPr="00C64973">
        <w:rPr>
          <w:rFonts w:cs="Calibri"/>
        </w:rPr>
        <w:t xml:space="preserve">, </w:t>
      </w:r>
      <w:r w:rsidR="00774293" w:rsidRPr="00C64973">
        <w:rPr>
          <w:rFonts w:cs="Calibri"/>
        </w:rPr>
        <w:t xml:space="preserve">VI </w:t>
      </w:r>
      <w:r w:rsidR="00C74246" w:rsidRPr="00C64973">
        <w:rPr>
          <w:rFonts w:cs="Calibri"/>
        </w:rPr>
        <w:t xml:space="preserve">consultants </w:t>
      </w:r>
      <w:r w:rsidR="00774293" w:rsidRPr="00C64973">
        <w:rPr>
          <w:rFonts w:cs="Calibri"/>
        </w:rPr>
        <w:t xml:space="preserve">at the ESCs </w:t>
      </w:r>
      <w:r w:rsidRPr="00C64973">
        <w:rPr>
          <w:rFonts w:cs="Calibri"/>
        </w:rPr>
        <w:t>estimate 45</w:t>
      </w:r>
      <w:r w:rsidR="00C74246" w:rsidRPr="00C64973">
        <w:rPr>
          <w:rFonts w:cs="Calibri"/>
        </w:rPr>
        <w:t xml:space="preserve"> COMS will leave the field over the next 3 years, </w:t>
      </w:r>
      <w:r w:rsidR="00C74246" w:rsidRPr="00C64973">
        <w:rPr>
          <w:rFonts w:cs="Calibri"/>
          <w:b/>
        </w:rPr>
        <w:t xml:space="preserve">the highest </w:t>
      </w:r>
      <w:r w:rsidR="0047265F">
        <w:rPr>
          <w:rFonts w:cs="Calibri"/>
          <w:b/>
        </w:rPr>
        <w:t xml:space="preserve">projected </w:t>
      </w:r>
      <w:r w:rsidR="00C74246" w:rsidRPr="00C64973">
        <w:rPr>
          <w:rFonts w:cs="Calibri"/>
          <w:b/>
        </w:rPr>
        <w:t>total on record</w:t>
      </w:r>
      <w:r w:rsidR="00C74246" w:rsidRPr="00C64973">
        <w:rPr>
          <w:rFonts w:cs="Calibri"/>
        </w:rPr>
        <w:t>.</w:t>
      </w:r>
      <w:r w:rsidR="00774293" w:rsidRPr="00C64973">
        <w:rPr>
          <w:rFonts w:cs="Calibri"/>
        </w:rPr>
        <w:t xml:space="preserve"> C</w:t>
      </w:r>
      <w:r w:rsidR="00774293" w:rsidRPr="00C64973">
        <w:t>onsultants project</w:t>
      </w:r>
      <w:r w:rsidR="00362C70" w:rsidRPr="00C64973">
        <w:t xml:space="preserve"> that</w:t>
      </w:r>
      <w:r w:rsidR="00445F9C" w:rsidRPr="00C64973">
        <w:t xml:space="preserve"> </w:t>
      </w:r>
      <w:r w:rsidRPr="00C64973">
        <w:t>100</w:t>
      </w:r>
      <w:r w:rsidR="003C0315" w:rsidRPr="00C64973">
        <w:t xml:space="preserve"> TVIs will leave and</w:t>
      </w:r>
      <w:r w:rsidR="0047265F">
        <w:t xml:space="preserve"> that </w:t>
      </w:r>
      <w:r w:rsidR="00362C70" w:rsidRPr="00C64973">
        <w:t>ov</w:t>
      </w:r>
      <w:r w:rsidRPr="00C64973">
        <w:t>erall, 129</w:t>
      </w:r>
      <w:r w:rsidR="00362C70" w:rsidRPr="00C64973">
        <w:t xml:space="preserve"> VI professionals will leave the field within the </w:t>
      </w:r>
      <w:r w:rsidR="001F7FA9" w:rsidRPr="00C64973">
        <w:rPr>
          <w:rFonts w:cs="Calibri"/>
        </w:rPr>
        <w:t xml:space="preserve">next 3 years. </w:t>
      </w:r>
      <w:r w:rsidR="00A90CA2" w:rsidRPr="00C64973">
        <w:rPr>
          <w:rFonts w:cs="Calibri"/>
          <w:color w:val="000000" w:themeColor="text1"/>
        </w:rPr>
        <w:t>If</w:t>
      </w:r>
      <w:r w:rsidRPr="00C64973">
        <w:rPr>
          <w:rFonts w:cs="Calibri"/>
          <w:color w:val="000000" w:themeColor="text1"/>
        </w:rPr>
        <w:t xml:space="preserve"> the 129</w:t>
      </w:r>
      <w:r w:rsidR="00362C70" w:rsidRPr="00C64973">
        <w:rPr>
          <w:rFonts w:cs="Calibri"/>
          <w:color w:val="000000" w:themeColor="text1"/>
        </w:rPr>
        <w:t xml:space="preserve"> proj</w:t>
      </w:r>
      <w:r w:rsidR="00A90CA2" w:rsidRPr="00C64973">
        <w:rPr>
          <w:rFonts w:cs="Calibri"/>
          <w:color w:val="000000" w:themeColor="text1"/>
        </w:rPr>
        <w:t xml:space="preserve">ection is accurate, </w:t>
      </w:r>
      <w:r w:rsidR="007E5D76" w:rsidRPr="00C64973">
        <w:rPr>
          <w:rFonts w:cs="Calibri"/>
          <w:color w:val="000000" w:themeColor="text1"/>
        </w:rPr>
        <w:t xml:space="preserve">we can expect </w:t>
      </w:r>
      <w:r w:rsidR="00B83DB7" w:rsidRPr="00C64973">
        <w:rPr>
          <w:rFonts w:cs="Calibri"/>
          <w:color w:val="000000" w:themeColor="text1"/>
        </w:rPr>
        <w:t xml:space="preserve">that </w:t>
      </w:r>
      <w:r w:rsidRPr="00C64973">
        <w:rPr>
          <w:rFonts w:cs="Calibri"/>
          <w:color w:val="000000" w:themeColor="text1"/>
        </w:rPr>
        <w:t>13</w:t>
      </w:r>
      <w:r w:rsidR="00362C70" w:rsidRPr="00C64973">
        <w:rPr>
          <w:rFonts w:cs="Calibri"/>
          <w:color w:val="000000" w:themeColor="text1"/>
        </w:rPr>
        <w:t xml:space="preserve">% of </w:t>
      </w:r>
      <w:r w:rsidR="00362C70" w:rsidRPr="00C64973">
        <w:rPr>
          <w:rFonts w:cs="Calibri"/>
          <w:i/>
          <w:color w:val="000000" w:themeColor="text1"/>
        </w:rPr>
        <w:t>existing</w:t>
      </w:r>
      <w:r w:rsidR="00362C70" w:rsidRPr="00C64973">
        <w:rPr>
          <w:rFonts w:cs="Calibri"/>
          <w:color w:val="000000" w:themeColor="text1"/>
        </w:rPr>
        <w:t xml:space="preserve"> VI</w:t>
      </w:r>
      <w:r w:rsidR="008040A3" w:rsidRPr="00C64973">
        <w:rPr>
          <w:rFonts w:cs="Calibri"/>
          <w:color w:val="000000" w:themeColor="text1"/>
        </w:rPr>
        <w:t xml:space="preserve"> professionals will </w:t>
      </w:r>
      <w:r w:rsidR="00362C70" w:rsidRPr="00C64973">
        <w:rPr>
          <w:rFonts w:cs="Calibri"/>
          <w:color w:val="000000" w:themeColor="text1"/>
        </w:rPr>
        <w:t>retire or otherwi</w:t>
      </w:r>
      <w:r w:rsidRPr="00C64973">
        <w:rPr>
          <w:rFonts w:cs="Calibri"/>
          <w:color w:val="000000" w:themeColor="text1"/>
        </w:rPr>
        <w:t>se leave the field prior to 2023</w:t>
      </w:r>
      <w:r w:rsidR="00362C70" w:rsidRPr="00C64973">
        <w:rPr>
          <w:rFonts w:cs="Calibri"/>
          <w:color w:val="000000" w:themeColor="text1"/>
        </w:rPr>
        <w:t>.</w:t>
      </w:r>
    </w:p>
    <w:p w14:paraId="3E497CB4" w14:textId="69D82C3F" w:rsidR="00362C70" w:rsidRPr="00C64973" w:rsidRDefault="00362C70" w:rsidP="00362C70">
      <w:pPr>
        <w:pStyle w:val="Heading2"/>
      </w:pPr>
      <w:bookmarkStart w:id="97" w:name="_Toc408835457"/>
      <w:bookmarkStart w:id="98" w:name="_Toc61607309"/>
      <w:r w:rsidRPr="00C64973">
        <w:t>Projected vs. actual attrition</w:t>
      </w:r>
      <w:bookmarkEnd w:id="97"/>
      <w:bookmarkEnd w:id="98"/>
    </w:p>
    <w:p w14:paraId="476DB894" w14:textId="6F2B2188" w:rsidR="00DF6C98" w:rsidRPr="00C64973" w:rsidRDefault="00DF6C98" w:rsidP="00DF6C98">
      <w:pPr>
        <w:rPr>
          <w:b/>
          <w:i/>
        </w:rPr>
      </w:pPr>
      <w:r w:rsidRPr="00C64973">
        <w:rPr>
          <w:b/>
          <w:i/>
        </w:rPr>
        <w:t>VI professionals at the ESCs are the best and only source for statewide information on attrition over the past year and projected attrition over the next three years.</w:t>
      </w:r>
    </w:p>
    <w:p w14:paraId="347E768B" w14:textId="1AC220CD" w:rsidR="00155DEE" w:rsidRDefault="00B96A29" w:rsidP="006950E1">
      <w:pPr>
        <w:spacing w:line="288" w:lineRule="auto"/>
      </w:pPr>
      <w:r w:rsidRPr="00C64973">
        <w:t>Although ESC projections are the most accurate source available</w:t>
      </w:r>
      <w:r w:rsidR="005876C0">
        <w:t xml:space="preserve">, real attrition has </w:t>
      </w:r>
      <w:r w:rsidR="00557A56" w:rsidRPr="00C64973">
        <w:t>often been underestimated</w:t>
      </w:r>
      <w:r w:rsidRPr="00C64973">
        <w:t xml:space="preserve">. As illustrated in the graph below, </w:t>
      </w:r>
      <w:r w:rsidR="00774293" w:rsidRPr="00C64973">
        <w:t>ESC-</w:t>
      </w:r>
      <w:r w:rsidR="00C508D5" w:rsidRPr="00C64973">
        <w:t xml:space="preserve">estimated three-year attrition </w:t>
      </w:r>
      <w:r w:rsidR="00C031DD">
        <w:t>numbers are typically under</w:t>
      </w:r>
      <w:r w:rsidRPr="00C64973">
        <w:t xml:space="preserve"> the actual totals; however, projections </w:t>
      </w:r>
      <w:r w:rsidR="00557A56" w:rsidRPr="00C64973">
        <w:t xml:space="preserve">were </w:t>
      </w:r>
      <w:r w:rsidR="004802C4" w:rsidRPr="00C64973">
        <w:t>extremely close to t</w:t>
      </w:r>
      <w:r w:rsidR="00C94472" w:rsidRPr="00C64973">
        <w:t xml:space="preserve">he actual </w:t>
      </w:r>
      <w:r w:rsidR="00395567" w:rsidRPr="00C64973">
        <w:t xml:space="preserve">number of VI professionals </w:t>
      </w:r>
      <w:r w:rsidR="00C94472" w:rsidRPr="00C64973">
        <w:t>who left the field</w:t>
      </w:r>
      <w:r w:rsidRPr="00C64973">
        <w:t xml:space="preserve"> between 2014 and 2016. </w:t>
      </w:r>
      <w:r w:rsidR="001B1657" w:rsidRPr="00C64973">
        <w:t xml:space="preserve"> Looking at the most r</w:t>
      </w:r>
      <w:r w:rsidRPr="00C64973">
        <w:t>ecent 3-year time frame, in 2018</w:t>
      </w:r>
      <w:r w:rsidR="001B1657" w:rsidRPr="00C64973">
        <w:t xml:space="preserve"> it was project</w:t>
      </w:r>
      <w:r w:rsidRPr="00C64973">
        <w:t>ed that 109</w:t>
      </w:r>
      <w:r w:rsidR="001B1657" w:rsidRPr="00C64973">
        <w:t xml:space="preserve"> peop</w:t>
      </w:r>
      <w:r w:rsidRPr="00C64973">
        <w:t>le would leave the field by 2020</w:t>
      </w:r>
      <w:r w:rsidR="001B1657" w:rsidRPr="00C64973">
        <w:t xml:space="preserve">. </w:t>
      </w:r>
      <w:r w:rsidR="004802C4" w:rsidRPr="00C64973">
        <w:t>T</w:t>
      </w:r>
      <w:r w:rsidR="001B1657" w:rsidRPr="00C64973">
        <w:t>he field</w:t>
      </w:r>
      <w:r w:rsidR="004802C4" w:rsidRPr="00C64973">
        <w:t xml:space="preserve"> actually</w:t>
      </w:r>
      <w:r w:rsidRPr="00C64973">
        <w:t xml:space="preserve"> lost 132</w:t>
      </w:r>
      <w:r w:rsidR="001B1657" w:rsidRPr="00C64973">
        <w:t xml:space="preserve"> VI pro</w:t>
      </w:r>
      <w:r w:rsidR="004802C4" w:rsidRPr="00C64973">
        <w:t>fessionals</w:t>
      </w:r>
      <w:r w:rsidR="00557A56" w:rsidRPr="00C64973">
        <w:t xml:space="preserve"> this year</w:t>
      </w:r>
      <w:r w:rsidR="004802C4" w:rsidRPr="00C64973">
        <w:t xml:space="preserve">, a </w:t>
      </w:r>
      <w:r w:rsidRPr="00C64973">
        <w:t>difference of 23</w:t>
      </w:r>
      <w:r w:rsidR="001B1657" w:rsidRPr="00C64973">
        <w:t xml:space="preserve"> individuals</w:t>
      </w:r>
      <w:r w:rsidRPr="00C64973">
        <w:t xml:space="preserve">. It is </w:t>
      </w:r>
      <w:r w:rsidR="00557A56" w:rsidRPr="00C64973">
        <w:t xml:space="preserve">likely that the unexpected circumstances of the year contributed to the </w:t>
      </w:r>
      <w:r w:rsidR="005876C0">
        <w:t xml:space="preserve">larger </w:t>
      </w:r>
      <w:r w:rsidR="00557A56" w:rsidRPr="00C64973">
        <w:t xml:space="preserve">gap in the most recent projected vs. actual attrition data. </w:t>
      </w:r>
    </w:p>
    <w:p w14:paraId="39887E11" w14:textId="24711025" w:rsidR="00122293" w:rsidRDefault="00325DD1" w:rsidP="00122293">
      <w:pPr>
        <w:spacing w:line="288" w:lineRule="auto"/>
        <w:rPr>
          <w:rFonts w:cs="Arial"/>
          <w:sz w:val="20"/>
        </w:rPr>
      </w:pPr>
      <w:r w:rsidRPr="00122293">
        <w:rPr>
          <w:rFonts w:cs="Arial"/>
          <w:noProof/>
          <w:sz w:val="16"/>
          <w:szCs w:val="16"/>
        </w:rPr>
        <w:drawing>
          <wp:anchor distT="0" distB="0" distL="114300" distR="114300" simplePos="0" relativeHeight="251755008" behindDoc="0" locked="0" layoutInCell="1" allowOverlap="1" wp14:anchorId="315A689B" wp14:editId="052F2CF4">
            <wp:simplePos x="0" y="0"/>
            <wp:positionH relativeFrom="margin">
              <wp:align>center</wp:align>
            </wp:positionH>
            <wp:positionV relativeFrom="margin">
              <wp:posOffset>5579110</wp:posOffset>
            </wp:positionV>
            <wp:extent cx="7138035" cy="2487246"/>
            <wp:effectExtent l="0" t="0" r="5715"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38035" cy="2487246"/>
                    </a:xfrm>
                    <a:prstGeom prst="rect">
                      <a:avLst/>
                    </a:prstGeom>
                    <a:noFill/>
                  </pic:spPr>
                </pic:pic>
              </a:graphicData>
            </a:graphic>
            <wp14:sizeRelH relativeFrom="margin">
              <wp14:pctWidth>0</wp14:pctWidth>
            </wp14:sizeRelH>
            <wp14:sizeRelV relativeFrom="margin">
              <wp14:pctHeight>0</wp14:pctHeight>
            </wp14:sizeRelV>
          </wp:anchor>
        </w:drawing>
      </w:r>
    </w:p>
    <w:p w14:paraId="5A643998" w14:textId="10B2E1AE" w:rsidR="00122293" w:rsidRDefault="008D69A0" w:rsidP="00122293">
      <w:pPr>
        <w:spacing w:line="288" w:lineRule="auto"/>
      </w:pPr>
      <w:r w:rsidRPr="00C64973">
        <w:rPr>
          <w:rFonts w:cs="Arial"/>
          <w:sz w:val="20"/>
        </w:rPr>
        <w:t>Bar chart 3:</w:t>
      </w:r>
    </w:p>
    <w:p w14:paraId="76B57147" w14:textId="596D7901" w:rsidR="008D69A0" w:rsidRPr="00122293" w:rsidRDefault="00155DEE" w:rsidP="00122293">
      <w:pPr>
        <w:spacing w:line="288" w:lineRule="auto"/>
      </w:pPr>
      <w:r w:rsidRPr="00122293">
        <w:rPr>
          <w:rFonts w:cs="Arial"/>
          <w:sz w:val="16"/>
          <w:szCs w:val="16"/>
        </w:rPr>
        <w:t>Bar chart compares projected totals (blue) and actual totals (red) for each of the 3 year periods. The actual attrition over each 3-year cycle is typically larger than the projected attrition. ESCs projected numbers within one individual in 2016 and again in 2017. In 2018 it was projected that 109 people would leave the field by 2020. The field actually lost 132 VI professionals this year, a difference of 23 individuals</w:t>
      </w:r>
      <w:r w:rsidRPr="00155DEE">
        <w:rPr>
          <w:rFonts w:cs="Arial"/>
          <w:sz w:val="20"/>
        </w:rPr>
        <w:t>.</w:t>
      </w:r>
    </w:p>
    <w:tbl>
      <w:tblPr>
        <w:tblW w:w="0" w:type="auto"/>
        <w:tblLook w:val="04A0" w:firstRow="1" w:lastRow="0" w:firstColumn="1" w:lastColumn="0" w:noHBand="0" w:noVBand="1"/>
      </w:tblPr>
      <w:tblGrid>
        <w:gridCol w:w="1995"/>
        <w:gridCol w:w="804"/>
        <w:gridCol w:w="804"/>
        <w:gridCol w:w="982"/>
        <w:gridCol w:w="982"/>
        <w:gridCol w:w="982"/>
        <w:gridCol w:w="982"/>
        <w:gridCol w:w="982"/>
      </w:tblGrid>
      <w:tr w:rsidR="00122293" w:rsidRPr="00122293" w14:paraId="54672C37" w14:textId="77777777" w:rsidTr="00122293">
        <w:trPr>
          <w:trHeight w:val="315"/>
        </w:trPr>
        <w:tc>
          <w:tcPr>
            <w:tcW w:w="0" w:type="auto"/>
            <w:tcBorders>
              <w:top w:val="nil"/>
              <w:left w:val="nil"/>
              <w:bottom w:val="nil"/>
              <w:right w:val="nil"/>
            </w:tcBorders>
            <w:shd w:val="clear" w:color="FFFF00" w:fill="FFFF00"/>
            <w:noWrap/>
            <w:vAlign w:val="bottom"/>
            <w:hideMark/>
          </w:tcPr>
          <w:p w14:paraId="017D904D" w14:textId="38F9FF36" w:rsidR="00122293" w:rsidRPr="00122293" w:rsidRDefault="00122293" w:rsidP="00122293">
            <w:pPr>
              <w:spacing w:after="0" w:line="240" w:lineRule="auto"/>
              <w:rPr>
                <w:rFonts w:cs="Arial"/>
                <w:sz w:val="16"/>
                <w:szCs w:val="16"/>
              </w:rPr>
            </w:pPr>
          </w:p>
        </w:tc>
        <w:tc>
          <w:tcPr>
            <w:tcW w:w="0" w:type="auto"/>
            <w:tcBorders>
              <w:top w:val="nil"/>
              <w:left w:val="nil"/>
              <w:bottom w:val="nil"/>
              <w:right w:val="nil"/>
            </w:tcBorders>
            <w:shd w:val="clear" w:color="auto" w:fill="auto"/>
            <w:noWrap/>
            <w:vAlign w:val="bottom"/>
            <w:hideMark/>
          </w:tcPr>
          <w:p w14:paraId="491591A5" w14:textId="0127C389" w:rsidR="00122293" w:rsidRPr="00122293" w:rsidRDefault="00122293" w:rsidP="00122293">
            <w:pPr>
              <w:spacing w:after="0" w:line="240" w:lineRule="auto"/>
              <w:rPr>
                <w:rFonts w:cs="Arial"/>
                <w:sz w:val="16"/>
                <w:szCs w:val="16"/>
              </w:rPr>
            </w:pPr>
            <w:r w:rsidRPr="00122293">
              <w:rPr>
                <w:rFonts w:cs="Arial"/>
                <w:sz w:val="16"/>
                <w:szCs w:val="16"/>
              </w:rPr>
              <w:t>2010-12</w:t>
            </w:r>
          </w:p>
        </w:tc>
        <w:tc>
          <w:tcPr>
            <w:tcW w:w="0" w:type="auto"/>
            <w:tcBorders>
              <w:top w:val="nil"/>
              <w:left w:val="nil"/>
              <w:bottom w:val="nil"/>
              <w:right w:val="nil"/>
            </w:tcBorders>
            <w:shd w:val="clear" w:color="auto" w:fill="auto"/>
            <w:noWrap/>
            <w:vAlign w:val="bottom"/>
            <w:hideMark/>
          </w:tcPr>
          <w:p w14:paraId="5B813F35" w14:textId="1F4E8FBF" w:rsidR="00122293" w:rsidRPr="00122293" w:rsidRDefault="00122293" w:rsidP="00122293">
            <w:pPr>
              <w:spacing w:after="0" w:line="240" w:lineRule="auto"/>
              <w:rPr>
                <w:rFonts w:cs="Arial"/>
                <w:sz w:val="16"/>
                <w:szCs w:val="16"/>
              </w:rPr>
            </w:pPr>
            <w:r w:rsidRPr="00122293">
              <w:rPr>
                <w:rFonts w:cs="Arial"/>
                <w:sz w:val="16"/>
                <w:szCs w:val="16"/>
              </w:rPr>
              <w:t>2011-13</w:t>
            </w:r>
          </w:p>
        </w:tc>
        <w:tc>
          <w:tcPr>
            <w:tcW w:w="0" w:type="auto"/>
            <w:tcBorders>
              <w:top w:val="nil"/>
              <w:left w:val="nil"/>
              <w:bottom w:val="nil"/>
              <w:right w:val="nil"/>
            </w:tcBorders>
            <w:shd w:val="clear" w:color="auto" w:fill="auto"/>
            <w:noWrap/>
            <w:vAlign w:val="bottom"/>
            <w:hideMark/>
          </w:tcPr>
          <w:p w14:paraId="0862B883" w14:textId="08AB2DAC" w:rsidR="00122293" w:rsidRPr="00122293" w:rsidRDefault="00122293" w:rsidP="00122293">
            <w:pPr>
              <w:spacing w:after="0" w:line="240" w:lineRule="auto"/>
              <w:rPr>
                <w:rFonts w:cs="Arial"/>
                <w:sz w:val="16"/>
                <w:szCs w:val="16"/>
              </w:rPr>
            </w:pPr>
            <w:r w:rsidRPr="00122293">
              <w:rPr>
                <w:rFonts w:cs="Arial"/>
                <w:sz w:val="16"/>
                <w:szCs w:val="16"/>
              </w:rPr>
              <w:t>2014-2016</w:t>
            </w:r>
          </w:p>
        </w:tc>
        <w:tc>
          <w:tcPr>
            <w:tcW w:w="0" w:type="auto"/>
            <w:tcBorders>
              <w:top w:val="nil"/>
              <w:left w:val="nil"/>
              <w:bottom w:val="nil"/>
              <w:right w:val="nil"/>
            </w:tcBorders>
            <w:shd w:val="clear" w:color="auto" w:fill="auto"/>
            <w:noWrap/>
            <w:vAlign w:val="bottom"/>
            <w:hideMark/>
          </w:tcPr>
          <w:p w14:paraId="4E4D2E6A" w14:textId="345FED92" w:rsidR="00122293" w:rsidRPr="00122293" w:rsidRDefault="00122293" w:rsidP="00122293">
            <w:pPr>
              <w:spacing w:after="0" w:line="240" w:lineRule="auto"/>
              <w:rPr>
                <w:rFonts w:cs="Arial"/>
                <w:sz w:val="16"/>
                <w:szCs w:val="16"/>
              </w:rPr>
            </w:pPr>
            <w:r w:rsidRPr="00122293">
              <w:rPr>
                <w:rFonts w:cs="Arial"/>
                <w:sz w:val="16"/>
                <w:szCs w:val="16"/>
              </w:rPr>
              <w:t>2015-2017</w:t>
            </w:r>
          </w:p>
        </w:tc>
        <w:tc>
          <w:tcPr>
            <w:tcW w:w="0" w:type="auto"/>
            <w:tcBorders>
              <w:top w:val="nil"/>
              <w:left w:val="nil"/>
              <w:bottom w:val="nil"/>
              <w:right w:val="nil"/>
            </w:tcBorders>
            <w:shd w:val="clear" w:color="auto" w:fill="auto"/>
            <w:noWrap/>
            <w:vAlign w:val="bottom"/>
            <w:hideMark/>
          </w:tcPr>
          <w:p w14:paraId="01FA7486" w14:textId="0F3C36E6" w:rsidR="00122293" w:rsidRPr="00122293" w:rsidRDefault="00122293" w:rsidP="00122293">
            <w:pPr>
              <w:spacing w:after="0" w:line="240" w:lineRule="auto"/>
              <w:rPr>
                <w:rFonts w:cs="Arial"/>
                <w:sz w:val="16"/>
                <w:szCs w:val="16"/>
              </w:rPr>
            </w:pPr>
            <w:r w:rsidRPr="00122293">
              <w:rPr>
                <w:rFonts w:cs="Arial"/>
                <w:sz w:val="16"/>
                <w:szCs w:val="16"/>
              </w:rPr>
              <w:t>2016-2018</w:t>
            </w:r>
          </w:p>
        </w:tc>
        <w:tc>
          <w:tcPr>
            <w:tcW w:w="0" w:type="auto"/>
            <w:tcBorders>
              <w:top w:val="nil"/>
              <w:left w:val="nil"/>
              <w:bottom w:val="nil"/>
              <w:right w:val="nil"/>
            </w:tcBorders>
            <w:shd w:val="clear" w:color="auto" w:fill="auto"/>
            <w:noWrap/>
            <w:vAlign w:val="bottom"/>
            <w:hideMark/>
          </w:tcPr>
          <w:p w14:paraId="0054EE42" w14:textId="77777777" w:rsidR="00122293" w:rsidRPr="00122293" w:rsidRDefault="00122293" w:rsidP="00122293">
            <w:pPr>
              <w:spacing w:after="0" w:line="240" w:lineRule="auto"/>
              <w:rPr>
                <w:rFonts w:cs="Arial"/>
                <w:sz w:val="16"/>
                <w:szCs w:val="16"/>
              </w:rPr>
            </w:pPr>
            <w:r w:rsidRPr="00122293">
              <w:rPr>
                <w:rFonts w:cs="Arial"/>
                <w:sz w:val="16"/>
                <w:szCs w:val="16"/>
              </w:rPr>
              <w:t>2017-2019</w:t>
            </w:r>
          </w:p>
        </w:tc>
        <w:tc>
          <w:tcPr>
            <w:tcW w:w="0" w:type="auto"/>
            <w:tcBorders>
              <w:top w:val="nil"/>
              <w:left w:val="nil"/>
              <w:bottom w:val="nil"/>
              <w:right w:val="nil"/>
            </w:tcBorders>
            <w:shd w:val="clear" w:color="auto" w:fill="auto"/>
            <w:noWrap/>
            <w:vAlign w:val="bottom"/>
            <w:hideMark/>
          </w:tcPr>
          <w:p w14:paraId="55450895" w14:textId="77777777" w:rsidR="00122293" w:rsidRPr="00122293" w:rsidRDefault="00122293" w:rsidP="00122293">
            <w:pPr>
              <w:spacing w:after="0" w:line="240" w:lineRule="auto"/>
              <w:rPr>
                <w:rFonts w:cs="Arial"/>
                <w:sz w:val="16"/>
                <w:szCs w:val="16"/>
              </w:rPr>
            </w:pPr>
            <w:r w:rsidRPr="00122293">
              <w:rPr>
                <w:rFonts w:cs="Arial"/>
                <w:sz w:val="16"/>
                <w:szCs w:val="16"/>
              </w:rPr>
              <w:t>2018-2020</w:t>
            </w:r>
          </w:p>
        </w:tc>
      </w:tr>
      <w:tr w:rsidR="00122293" w:rsidRPr="00122293" w14:paraId="769D2559" w14:textId="77777777" w:rsidTr="00122293">
        <w:trPr>
          <w:trHeight w:val="255"/>
        </w:trPr>
        <w:tc>
          <w:tcPr>
            <w:tcW w:w="0" w:type="auto"/>
            <w:tcBorders>
              <w:top w:val="nil"/>
              <w:left w:val="nil"/>
              <w:bottom w:val="nil"/>
              <w:right w:val="nil"/>
            </w:tcBorders>
            <w:shd w:val="clear" w:color="auto" w:fill="auto"/>
            <w:vAlign w:val="bottom"/>
            <w:hideMark/>
          </w:tcPr>
          <w:p w14:paraId="15181FBC" w14:textId="1AFFEF46" w:rsidR="00122293" w:rsidRPr="00122293" w:rsidRDefault="00122293" w:rsidP="00122293">
            <w:pPr>
              <w:spacing w:after="0" w:line="240" w:lineRule="auto"/>
              <w:rPr>
                <w:rFonts w:cs="Arial"/>
                <w:sz w:val="16"/>
                <w:szCs w:val="16"/>
              </w:rPr>
            </w:pPr>
            <w:r w:rsidRPr="00122293">
              <w:rPr>
                <w:rFonts w:cs="Arial"/>
                <w:sz w:val="16"/>
                <w:szCs w:val="16"/>
              </w:rPr>
              <w:t xml:space="preserve">Projected  3 year attrition  </w:t>
            </w:r>
          </w:p>
        </w:tc>
        <w:tc>
          <w:tcPr>
            <w:tcW w:w="0" w:type="auto"/>
            <w:tcBorders>
              <w:top w:val="nil"/>
              <w:left w:val="nil"/>
              <w:bottom w:val="nil"/>
              <w:right w:val="nil"/>
            </w:tcBorders>
            <w:shd w:val="clear" w:color="auto" w:fill="auto"/>
            <w:noWrap/>
            <w:vAlign w:val="bottom"/>
            <w:hideMark/>
          </w:tcPr>
          <w:p w14:paraId="59863C66" w14:textId="532556BE" w:rsidR="00122293" w:rsidRPr="00122293" w:rsidRDefault="00122293" w:rsidP="00122293">
            <w:pPr>
              <w:spacing w:after="0" w:line="240" w:lineRule="auto"/>
              <w:jc w:val="right"/>
              <w:rPr>
                <w:rFonts w:cs="Arial"/>
                <w:sz w:val="16"/>
                <w:szCs w:val="16"/>
              </w:rPr>
            </w:pPr>
            <w:r w:rsidRPr="00122293">
              <w:rPr>
                <w:rFonts w:cs="Arial"/>
                <w:sz w:val="16"/>
                <w:szCs w:val="16"/>
              </w:rPr>
              <w:t>102</w:t>
            </w:r>
          </w:p>
        </w:tc>
        <w:tc>
          <w:tcPr>
            <w:tcW w:w="0" w:type="auto"/>
            <w:tcBorders>
              <w:top w:val="nil"/>
              <w:left w:val="nil"/>
              <w:bottom w:val="nil"/>
              <w:right w:val="nil"/>
            </w:tcBorders>
            <w:shd w:val="clear" w:color="auto" w:fill="auto"/>
            <w:noWrap/>
            <w:vAlign w:val="bottom"/>
            <w:hideMark/>
          </w:tcPr>
          <w:p w14:paraId="0DC7EB60" w14:textId="2D55DB96" w:rsidR="00122293" w:rsidRPr="00122293" w:rsidRDefault="00122293" w:rsidP="00122293">
            <w:pPr>
              <w:spacing w:after="0" w:line="240" w:lineRule="auto"/>
              <w:jc w:val="right"/>
              <w:rPr>
                <w:rFonts w:cs="Arial"/>
                <w:sz w:val="16"/>
                <w:szCs w:val="16"/>
              </w:rPr>
            </w:pPr>
            <w:r w:rsidRPr="00122293">
              <w:rPr>
                <w:rFonts w:cs="Arial"/>
                <w:sz w:val="16"/>
                <w:szCs w:val="16"/>
              </w:rPr>
              <w:t>128</w:t>
            </w:r>
          </w:p>
        </w:tc>
        <w:tc>
          <w:tcPr>
            <w:tcW w:w="0" w:type="auto"/>
            <w:tcBorders>
              <w:top w:val="nil"/>
              <w:left w:val="nil"/>
              <w:bottom w:val="nil"/>
              <w:right w:val="nil"/>
            </w:tcBorders>
            <w:shd w:val="clear" w:color="auto" w:fill="auto"/>
            <w:noWrap/>
            <w:vAlign w:val="bottom"/>
            <w:hideMark/>
          </w:tcPr>
          <w:p w14:paraId="499D7EF1" w14:textId="68854B9E" w:rsidR="00122293" w:rsidRPr="00122293" w:rsidRDefault="00122293" w:rsidP="00122293">
            <w:pPr>
              <w:spacing w:after="0" w:line="240" w:lineRule="auto"/>
              <w:jc w:val="right"/>
              <w:rPr>
                <w:rFonts w:cs="Arial"/>
                <w:sz w:val="16"/>
                <w:szCs w:val="16"/>
              </w:rPr>
            </w:pPr>
            <w:r w:rsidRPr="00122293">
              <w:rPr>
                <w:rFonts w:cs="Arial"/>
                <w:sz w:val="16"/>
                <w:szCs w:val="16"/>
              </w:rPr>
              <w:t>119</w:t>
            </w:r>
          </w:p>
        </w:tc>
        <w:tc>
          <w:tcPr>
            <w:tcW w:w="0" w:type="auto"/>
            <w:tcBorders>
              <w:top w:val="nil"/>
              <w:left w:val="nil"/>
              <w:bottom w:val="nil"/>
              <w:right w:val="nil"/>
            </w:tcBorders>
            <w:shd w:val="clear" w:color="auto" w:fill="auto"/>
            <w:noWrap/>
            <w:vAlign w:val="bottom"/>
            <w:hideMark/>
          </w:tcPr>
          <w:p w14:paraId="3A1BBED0" w14:textId="09B176FF" w:rsidR="00122293" w:rsidRPr="00122293" w:rsidRDefault="00122293" w:rsidP="00122293">
            <w:pPr>
              <w:spacing w:after="0" w:line="240" w:lineRule="auto"/>
              <w:jc w:val="right"/>
              <w:rPr>
                <w:rFonts w:cs="Arial"/>
                <w:sz w:val="16"/>
                <w:szCs w:val="16"/>
              </w:rPr>
            </w:pPr>
            <w:r w:rsidRPr="00122293">
              <w:rPr>
                <w:rFonts w:cs="Arial"/>
                <w:sz w:val="16"/>
                <w:szCs w:val="16"/>
              </w:rPr>
              <w:t>111</w:t>
            </w:r>
          </w:p>
        </w:tc>
        <w:tc>
          <w:tcPr>
            <w:tcW w:w="0" w:type="auto"/>
            <w:tcBorders>
              <w:top w:val="nil"/>
              <w:left w:val="nil"/>
              <w:bottom w:val="nil"/>
              <w:right w:val="nil"/>
            </w:tcBorders>
            <w:shd w:val="clear" w:color="auto" w:fill="auto"/>
            <w:noWrap/>
            <w:vAlign w:val="bottom"/>
            <w:hideMark/>
          </w:tcPr>
          <w:p w14:paraId="5574148B" w14:textId="3B7B706A" w:rsidR="00122293" w:rsidRPr="00122293" w:rsidRDefault="00122293" w:rsidP="00122293">
            <w:pPr>
              <w:spacing w:after="0" w:line="240" w:lineRule="auto"/>
              <w:jc w:val="right"/>
              <w:rPr>
                <w:rFonts w:cs="Arial"/>
                <w:sz w:val="16"/>
                <w:szCs w:val="16"/>
              </w:rPr>
            </w:pPr>
            <w:r w:rsidRPr="00122293">
              <w:rPr>
                <w:rFonts w:cs="Arial"/>
                <w:sz w:val="16"/>
                <w:szCs w:val="16"/>
              </w:rPr>
              <w:t>105</w:t>
            </w:r>
          </w:p>
        </w:tc>
        <w:tc>
          <w:tcPr>
            <w:tcW w:w="0" w:type="auto"/>
            <w:tcBorders>
              <w:top w:val="nil"/>
              <w:left w:val="nil"/>
              <w:bottom w:val="nil"/>
              <w:right w:val="nil"/>
            </w:tcBorders>
            <w:shd w:val="clear" w:color="auto" w:fill="auto"/>
            <w:noWrap/>
            <w:vAlign w:val="bottom"/>
            <w:hideMark/>
          </w:tcPr>
          <w:p w14:paraId="6144F04F" w14:textId="77777777" w:rsidR="00122293" w:rsidRPr="00122293" w:rsidRDefault="00122293" w:rsidP="00122293">
            <w:pPr>
              <w:spacing w:after="0" w:line="240" w:lineRule="auto"/>
              <w:jc w:val="right"/>
              <w:rPr>
                <w:rFonts w:cs="Arial"/>
                <w:sz w:val="16"/>
                <w:szCs w:val="16"/>
              </w:rPr>
            </w:pPr>
            <w:r w:rsidRPr="00122293">
              <w:rPr>
                <w:rFonts w:cs="Arial"/>
                <w:sz w:val="16"/>
                <w:szCs w:val="16"/>
              </w:rPr>
              <w:t>105</w:t>
            </w:r>
          </w:p>
        </w:tc>
        <w:tc>
          <w:tcPr>
            <w:tcW w:w="0" w:type="auto"/>
            <w:tcBorders>
              <w:top w:val="nil"/>
              <w:left w:val="nil"/>
              <w:bottom w:val="nil"/>
              <w:right w:val="nil"/>
            </w:tcBorders>
            <w:shd w:val="clear" w:color="auto" w:fill="auto"/>
            <w:noWrap/>
            <w:vAlign w:val="bottom"/>
            <w:hideMark/>
          </w:tcPr>
          <w:p w14:paraId="2CC40268" w14:textId="77777777" w:rsidR="00122293" w:rsidRPr="00122293" w:rsidRDefault="00122293" w:rsidP="00122293">
            <w:pPr>
              <w:spacing w:after="0" w:line="240" w:lineRule="auto"/>
              <w:jc w:val="right"/>
              <w:rPr>
                <w:rFonts w:cs="Arial"/>
                <w:sz w:val="16"/>
                <w:szCs w:val="16"/>
              </w:rPr>
            </w:pPr>
            <w:r w:rsidRPr="00122293">
              <w:rPr>
                <w:rFonts w:cs="Arial"/>
                <w:sz w:val="16"/>
                <w:szCs w:val="16"/>
              </w:rPr>
              <w:t>109</w:t>
            </w:r>
          </w:p>
        </w:tc>
      </w:tr>
      <w:tr w:rsidR="00122293" w:rsidRPr="00122293" w14:paraId="27670C82" w14:textId="77777777" w:rsidTr="00122293">
        <w:trPr>
          <w:trHeight w:val="255"/>
        </w:trPr>
        <w:tc>
          <w:tcPr>
            <w:tcW w:w="0" w:type="auto"/>
            <w:tcBorders>
              <w:top w:val="nil"/>
              <w:left w:val="nil"/>
              <w:bottom w:val="nil"/>
              <w:right w:val="nil"/>
            </w:tcBorders>
            <w:shd w:val="clear" w:color="auto" w:fill="auto"/>
            <w:vAlign w:val="bottom"/>
            <w:hideMark/>
          </w:tcPr>
          <w:p w14:paraId="05AEB1CF" w14:textId="77777777" w:rsidR="00122293" w:rsidRPr="00122293" w:rsidRDefault="00122293" w:rsidP="00122293">
            <w:pPr>
              <w:spacing w:after="0" w:line="240" w:lineRule="auto"/>
              <w:rPr>
                <w:rFonts w:cs="Arial"/>
                <w:sz w:val="16"/>
                <w:szCs w:val="16"/>
              </w:rPr>
            </w:pPr>
            <w:r w:rsidRPr="00122293">
              <w:rPr>
                <w:rFonts w:cs="Arial"/>
                <w:sz w:val="16"/>
                <w:szCs w:val="16"/>
              </w:rPr>
              <w:t>Actual 3 year attrition</w:t>
            </w:r>
          </w:p>
        </w:tc>
        <w:tc>
          <w:tcPr>
            <w:tcW w:w="0" w:type="auto"/>
            <w:tcBorders>
              <w:top w:val="nil"/>
              <w:left w:val="nil"/>
              <w:bottom w:val="nil"/>
              <w:right w:val="nil"/>
            </w:tcBorders>
            <w:shd w:val="clear" w:color="auto" w:fill="auto"/>
            <w:noWrap/>
            <w:vAlign w:val="bottom"/>
            <w:hideMark/>
          </w:tcPr>
          <w:p w14:paraId="19E80A06" w14:textId="0D071143" w:rsidR="00122293" w:rsidRPr="00122293" w:rsidRDefault="00122293" w:rsidP="00122293">
            <w:pPr>
              <w:spacing w:after="0" w:line="240" w:lineRule="auto"/>
              <w:jc w:val="right"/>
              <w:rPr>
                <w:rFonts w:cs="Arial"/>
                <w:sz w:val="16"/>
                <w:szCs w:val="16"/>
              </w:rPr>
            </w:pPr>
            <w:r w:rsidRPr="00122293">
              <w:rPr>
                <w:rFonts w:cs="Arial"/>
                <w:sz w:val="16"/>
                <w:szCs w:val="16"/>
              </w:rPr>
              <w:t>126</w:t>
            </w:r>
          </w:p>
        </w:tc>
        <w:tc>
          <w:tcPr>
            <w:tcW w:w="0" w:type="auto"/>
            <w:tcBorders>
              <w:top w:val="nil"/>
              <w:left w:val="nil"/>
              <w:bottom w:val="nil"/>
              <w:right w:val="nil"/>
            </w:tcBorders>
            <w:shd w:val="clear" w:color="auto" w:fill="auto"/>
            <w:noWrap/>
            <w:vAlign w:val="bottom"/>
            <w:hideMark/>
          </w:tcPr>
          <w:p w14:paraId="75D54804" w14:textId="6D1458D0" w:rsidR="00122293" w:rsidRPr="00122293" w:rsidRDefault="00122293" w:rsidP="00122293">
            <w:pPr>
              <w:spacing w:after="0" w:line="240" w:lineRule="auto"/>
              <w:jc w:val="right"/>
              <w:rPr>
                <w:rFonts w:cs="Arial"/>
                <w:sz w:val="16"/>
                <w:szCs w:val="16"/>
              </w:rPr>
            </w:pPr>
            <w:r w:rsidRPr="00122293">
              <w:rPr>
                <w:rFonts w:cs="Arial"/>
                <w:sz w:val="16"/>
                <w:szCs w:val="16"/>
              </w:rPr>
              <w:t>142</w:t>
            </w:r>
          </w:p>
        </w:tc>
        <w:tc>
          <w:tcPr>
            <w:tcW w:w="0" w:type="auto"/>
            <w:tcBorders>
              <w:top w:val="nil"/>
              <w:left w:val="nil"/>
              <w:bottom w:val="nil"/>
              <w:right w:val="nil"/>
            </w:tcBorders>
            <w:shd w:val="clear" w:color="auto" w:fill="auto"/>
            <w:noWrap/>
            <w:vAlign w:val="bottom"/>
            <w:hideMark/>
          </w:tcPr>
          <w:p w14:paraId="1238B85E" w14:textId="57993EB0" w:rsidR="00122293" w:rsidRPr="00122293" w:rsidRDefault="00122293" w:rsidP="00122293">
            <w:pPr>
              <w:spacing w:after="0" w:line="240" w:lineRule="auto"/>
              <w:jc w:val="right"/>
              <w:rPr>
                <w:rFonts w:cs="Arial"/>
                <w:sz w:val="16"/>
                <w:szCs w:val="16"/>
              </w:rPr>
            </w:pPr>
            <w:r w:rsidRPr="00122293">
              <w:rPr>
                <w:rFonts w:cs="Arial"/>
                <w:sz w:val="16"/>
                <w:szCs w:val="16"/>
              </w:rPr>
              <w:t>120</w:t>
            </w:r>
          </w:p>
        </w:tc>
        <w:tc>
          <w:tcPr>
            <w:tcW w:w="0" w:type="auto"/>
            <w:tcBorders>
              <w:top w:val="nil"/>
              <w:left w:val="nil"/>
              <w:bottom w:val="nil"/>
              <w:right w:val="nil"/>
            </w:tcBorders>
            <w:shd w:val="clear" w:color="auto" w:fill="auto"/>
            <w:noWrap/>
            <w:vAlign w:val="bottom"/>
            <w:hideMark/>
          </w:tcPr>
          <w:p w14:paraId="2505ABD1" w14:textId="26EE0EEC" w:rsidR="00122293" w:rsidRPr="00122293" w:rsidRDefault="00122293" w:rsidP="00122293">
            <w:pPr>
              <w:spacing w:after="0" w:line="240" w:lineRule="auto"/>
              <w:jc w:val="right"/>
              <w:rPr>
                <w:rFonts w:cs="Arial"/>
                <w:sz w:val="16"/>
                <w:szCs w:val="16"/>
              </w:rPr>
            </w:pPr>
            <w:r w:rsidRPr="00122293">
              <w:rPr>
                <w:rFonts w:cs="Arial"/>
                <w:sz w:val="16"/>
                <w:szCs w:val="16"/>
              </w:rPr>
              <w:t>112</w:t>
            </w:r>
          </w:p>
        </w:tc>
        <w:tc>
          <w:tcPr>
            <w:tcW w:w="0" w:type="auto"/>
            <w:tcBorders>
              <w:top w:val="nil"/>
              <w:left w:val="nil"/>
              <w:bottom w:val="nil"/>
              <w:right w:val="nil"/>
            </w:tcBorders>
            <w:shd w:val="clear" w:color="auto" w:fill="auto"/>
            <w:noWrap/>
            <w:vAlign w:val="bottom"/>
            <w:hideMark/>
          </w:tcPr>
          <w:p w14:paraId="659D3735" w14:textId="5F564D80" w:rsidR="00122293" w:rsidRPr="00122293" w:rsidRDefault="00122293" w:rsidP="00122293">
            <w:pPr>
              <w:spacing w:after="0" w:line="240" w:lineRule="auto"/>
              <w:jc w:val="right"/>
              <w:rPr>
                <w:rFonts w:cs="Arial"/>
                <w:sz w:val="16"/>
                <w:szCs w:val="16"/>
              </w:rPr>
            </w:pPr>
            <w:r w:rsidRPr="00122293">
              <w:rPr>
                <w:rFonts w:cs="Arial"/>
                <w:sz w:val="16"/>
                <w:szCs w:val="16"/>
              </w:rPr>
              <w:t>109</w:t>
            </w:r>
          </w:p>
        </w:tc>
        <w:tc>
          <w:tcPr>
            <w:tcW w:w="0" w:type="auto"/>
            <w:tcBorders>
              <w:top w:val="nil"/>
              <w:left w:val="nil"/>
              <w:bottom w:val="nil"/>
              <w:right w:val="nil"/>
            </w:tcBorders>
            <w:shd w:val="clear" w:color="auto" w:fill="auto"/>
            <w:noWrap/>
            <w:vAlign w:val="bottom"/>
            <w:hideMark/>
          </w:tcPr>
          <w:p w14:paraId="5B5BD4A1" w14:textId="77777777" w:rsidR="00122293" w:rsidRPr="00122293" w:rsidRDefault="00122293" w:rsidP="00122293">
            <w:pPr>
              <w:spacing w:after="0" w:line="240" w:lineRule="auto"/>
              <w:jc w:val="right"/>
              <w:rPr>
                <w:rFonts w:cs="Arial"/>
                <w:sz w:val="16"/>
                <w:szCs w:val="16"/>
              </w:rPr>
            </w:pPr>
            <w:r w:rsidRPr="00122293">
              <w:rPr>
                <w:rFonts w:cs="Arial"/>
                <w:sz w:val="16"/>
                <w:szCs w:val="16"/>
              </w:rPr>
              <w:t>124</w:t>
            </w:r>
          </w:p>
        </w:tc>
        <w:tc>
          <w:tcPr>
            <w:tcW w:w="0" w:type="auto"/>
            <w:tcBorders>
              <w:top w:val="nil"/>
              <w:left w:val="nil"/>
              <w:bottom w:val="nil"/>
              <w:right w:val="nil"/>
            </w:tcBorders>
            <w:shd w:val="clear" w:color="auto" w:fill="auto"/>
            <w:noWrap/>
            <w:vAlign w:val="bottom"/>
            <w:hideMark/>
          </w:tcPr>
          <w:p w14:paraId="6CF8FF4D" w14:textId="77777777" w:rsidR="00122293" w:rsidRPr="00122293" w:rsidRDefault="00122293" w:rsidP="00122293">
            <w:pPr>
              <w:spacing w:after="0" w:line="240" w:lineRule="auto"/>
              <w:jc w:val="right"/>
              <w:rPr>
                <w:rFonts w:cs="Arial"/>
                <w:sz w:val="16"/>
                <w:szCs w:val="16"/>
              </w:rPr>
            </w:pPr>
            <w:r w:rsidRPr="00122293">
              <w:rPr>
                <w:rFonts w:cs="Arial"/>
                <w:sz w:val="16"/>
                <w:szCs w:val="16"/>
              </w:rPr>
              <w:t>132</w:t>
            </w:r>
          </w:p>
        </w:tc>
      </w:tr>
    </w:tbl>
    <w:p w14:paraId="59AC22E7" w14:textId="040E05E4" w:rsidR="00C21813" w:rsidRPr="00122293" w:rsidRDefault="00C21813" w:rsidP="00C21813">
      <w:pPr>
        <w:spacing w:after="0" w:line="240" w:lineRule="auto"/>
        <w:rPr>
          <w:rFonts w:cs="Arial"/>
          <w:sz w:val="16"/>
          <w:szCs w:val="16"/>
        </w:rPr>
      </w:pPr>
    </w:p>
    <w:p w14:paraId="0B953585" w14:textId="437659CE" w:rsidR="000339C0" w:rsidRDefault="000339C0" w:rsidP="000339C0">
      <w:pPr>
        <w:spacing w:line="288" w:lineRule="auto"/>
        <w:ind w:left="630"/>
        <w:jc w:val="center"/>
        <w:rPr>
          <w:b/>
          <w:bCs/>
        </w:rPr>
      </w:pPr>
    </w:p>
    <w:p w14:paraId="2E600835" w14:textId="77777777" w:rsidR="00122293" w:rsidRPr="00C64973" w:rsidRDefault="00122293" w:rsidP="000339C0">
      <w:pPr>
        <w:spacing w:line="288" w:lineRule="auto"/>
        <w:ind w:left="630"/>
        <w:jc w:val="center"/>
        <w:rPr>
          <w:b/>
          <w:bCs/>
        </w:rPr>
      </w:pPr>
    </w:p>
    <w:p w14:paraId="4B0B52F2" w14:textId="2C07532D" w:rsidR="00362C70" w:rsidRPr="00C64973" w:rsidRDefault="00362C70" w:rsidP="000339C0">
      <w:pPr>
        <w:spacing w:line="288" w:lineRule="auto"/>
        <w:ind w:left="630"/>
        <w:jc w:val="center"/>
        <w:rPr>
          <w:sz w:val="18"/>
          <w:szCs w:val="18"/>
        </w:rPr>
      </w:pPr>
      <w:r w:rsidRPr="00C64973">
        <w:rPr>
          <w:b/>
          <w:bCs/>
          <w:sz w:val="18"/>
          <w:szCs w:val="18"/>
        </w:rPr>
        <w:t>*</w:t>
      </w:r>
      <w:r w:rsidR="004630F3" w:rsidRPr="00C64973">
        <w:rPr>
          <w:sz w:val="18"/>
          <w:szCs w:val="18"/>
        </w:rPr>
        <w:t xml:space="preserve"> 2018–2020</w:t>
      </w:r>
      <w:r w:rsidR="003334C4" w:rsidRPr="00C64973">
        <w:rPr>
          <w:sz w:val="18"/>
          <w:szCs w:val="18"/>
        </w:rPr>
        <w:t xml:space="preserve"> is the last time frame </w:t>
      </w:r>
      <w:r w:rsidRPr="00C64973">
        <w:rPr>
          <w:sz w:val="18"/>
          <w:szCs w:val="18"/>
        </w:rPr>
        <w:t>for which a complete set of data is available.</w:t>
      </w:r>
    </w:p>
    <w:p w14:paraId="5977DE28" w14:textId="1C8BDE91" w:rsidR="00BA43CE" w:rsidRPr="00C64973" w:rsidRDefault="00BA43CE" w:rsidP="00BA43CE">
      <w:pPr>
        <w:pStyle w:val="Heading1"/>
      </w:pPr>
      <w:bookmarkStart w:id="99" w:name="_Toc284342500"/>
      <w:bookmarkStart w:id="100" w:name="_Toc347126948"/>
      <w:bookmarkStart w:id="101" w:name="_Toc347127180"/>
      <w:bookmarkStart w:id="102" w:name="_Toc408835458"/>
      <w:bookmarkStart w:id="103" w:name="_Toc61607310"/>
      <w:r w:rsidRPr="00C64973">
        <w:t>Anticipated Need</w:t>
      </w:r>
      <w:bookmarkEnd w:id="99"/>
      <w:bookmarkEnd w:id="100"/>
      <w:bookmarkEnd w:id="101"/>
      <w:bookmarkEnd w:id="102"/>
      <w:bookmarkEnd w:id="103"/>
    </w:p>
    <w:p w14:paraId="1F28FB9D" w14:textId="1BD574D9" w:rsidR="00BA43CE" w:rsidRPr="00C64973" w:rsidRDefault="00BA43CE" w:rsidP="00BA43CE">
      <w:r w:rsidRPr="00C64973">
        <w:t xml:space="preserve">Interpreting and understanding the need for educational professionals traditionally relies on several factors, including the number of posted positions and recommendations from knowledgeable professionals. Below </w:t>
      </w:r>
      <w:r w:rsidR="00456A18" w:rsidRPr="00C64973">
        <w:t xml:space="preserve">(Table 10 </w:t>
      </w:r>
      <w:r w:rsidRPr="00C64973">
        <w:t>and the graph that follows) ar</w:t>
      </w:r>
      <w:r w:rsidR="00DB02A5" w:rsidRPr="00C64973">
        <w:t>e</w:t>
      </w:r>
      <w:r w:rsidR="00052CC1" w:rsidRPr="00C64973">
        <w:t xml:space="preserve"> data from each of these areas. The expected student growth </w:t>
      </w:r>
      <w:r w:rsidR="008F28E6" w:rsidRPr="00C64973">
        <w:t>of 912</w:t>
      </w:r>
      <w:r w:rsidR="001A434D" w:rsidRPr="00C64973">
        <w:t xml:space="preserve"> </w:t>
      </w:r>
      <w:r w:rsidR="009C07D2" w:rsidRPr="00C64973">
        <w:t xml:space="preserve">students </w:t>
      </w:r>
      <w:r w:rsidR="001A434D" w:rsidRPr="00C64973">
        <w:t xml:space="preserve">over the next 3 years </w:t>
      </w:r>
      <w:r w:rsidR="00052CC1" w:rsidRPr="00C64973">
        <w:t xml:space="preserve">should be kept </w:t>
      </w:r>
      <w:r w:rsidR="009C07D2" w:rsidRPr="00C64973">
        <w:t>in mind when consider</w:t>
      </w:r>
      <w:r w:rsidR="00774293" w:rsidRPr="00C64973">
        <w:t xml:space="preserve">ing the anticipated need for </w:t>
      </w:r>
      <w:r w:rsidR="009C07D2" w:rsidRPr="00C64973">
        <w:t>VI professionals who will serve them.</w:t>
      </w:r>
    </w:p>
    <w:p w14:paraId="2B1ACC8D" w14:textId="5EC82AEE" w:rsidR="00B722D5" w:rsidRPr="00C64973" w:rsidRDefault="00B722D5" w:rsidP="00B722D5">
      <w:pPr>
        <w:pStyle w:val="Heading2"/>
      </w:pPr>
      <w:bookmarkStart w:id="104" w:name="_Toc284342501"/>
      <w:bookmarkStart w:id="105" w:name="_Toc347126949"/>
      <w:bookmarkStart w:id="106" w:name="_Toc347127181"/>
      <w:bookmarkStart w:id="107" w:name="_Toc408835459"/>
      <w:bookmarkStart w:id="108" w:name="_Toc61607311"/>
      <w:r w:rsidRPr="00C64973">
        <w:t>Posted positions</w:t>
      </w:r>
      <w:bookmarkEnd w:id="104"/>
      <w:bookmarkEnd w:id="105"/>
      <w:bookmarkEnd w:id="106"/>
      <w:bookmarkEnd w:id="107"/>
      <w:bookmarkEnd w:id="108"/>
    </w:p>
    <w:p w14:paraId="6ABB30FE" w14:textId="08B9B676" w:rsidR="00DF6C98" w:rsidRPr="00C64973" w:rsidRDefault="00DF6C98" w:rsidP="00DF6C98">
      <w:pPr>
        <w:spacing w:line="288" w:lineRule="auto"/>
        <w:rPr>
          <w:b/>
          <w:i/>
        </w:rPr>
      </w:pPr>
      <w:r w:rsidRPr="00C64973">
        <w:rPr>
          <w:b/>
          <w:i/>
        </w:rPr>
        <w:t>This year the number of existing vacancies, after all typical hiring had been completed, inc</w:t>
      </w:r>
      <w:r w:rsidR="008F28E6" w:rsidRPr="00C64973">
        <w:rPr>
          <w:b/>
          <w:i/>
        </w:rPr>
        <w:t xml:space="preserve">reased significantly </w:t>
      </w:r>
      <w:r w:rsidR="00A60F79" w:rsidRPr="00C64973">
        <w:rPr>
          <w:b/>
          <w:i/>
        </w:rPr>
        <w:t xml:space="preserve">once again </w:t>
      </w:r>
      <w:r w:rsidR="008F28E6" w:rsidRPr="00C64973">
        <w:rPr>
          <w:b/>
          <w:i/>
        </w:rPr>
        <w:t xml:space="preserve">from </w:t>
      </w:r>
      <w:r w:rsidRPr="00C64973">
        <w:rPr>
          <w:b/>
          <w:i/>
        </w:rPr>
        <w:t>31</w:t>
      </w:r>
      <w:r w:rsidR="008F28E6" w:rsidRPr="00C64973">
        <w:rPr>
          <w:b/>
          <w:i/>
        </w:rPr>
        <w:t xml:space="preserve"> to 47</w:t>
      </w:r>
      <w:r w:rsidRPr="00C64973">
        <w:rPr>
          <w:b/>
          <w:i/>
        </w:rPr>
        <w:t xml:space="preserve">. </w:t>
      </w:r>
    </w:p>
    <w:p w14:paraId="43506280" w14:textId="34E032B7" w:rsidR="008207E5" w:rsidRPr="00C64973" w:rsidRDefault="00B722D5" w:rsidP="00B722D5">
      <w:pPr>
        <w:spacing w:line="288" w:lineRule="auto"/>
      </w:pPr>
      <w:r w:rsidRPr="00C64973">
        <w:t>The respondents at each ESC and at TSBVI were asked how many part- or full-time positions were posted in their regio</w:t>
      </w:r>
      <w:r w:rsidR="00E60351" w:rsidRPr="00C64973">
        <w:t xml:space="preserve">ns or at </w:t>
      </w:r>
      <w:r w:rsidR="00A60F79" w:rsidRPr="00C64973">
        <w:t>TSBVI in September 2020</w:t>
      </w:r>
      <w:r w:rsidRPr="00C64973">
        <w:t>. These data were collected in September and reflect numbers after all regular hiring for the academic year had been completed. These positions remained unfilled and active because districts were unable to find a VI professional or the positions were opened after the start of the school year.</w:t>
      </w:r>
      <w:r w:rsidR="00163B6C" w:rsidRPr="00C64973">
        <w:t xml:space="preserve"> </w:t>
      </w:r>
    </w:p>
    <w:p w14:paraId="53C30FD7" w14:textId="262B8CC7" w:rsidR="00B722D5" w:rsidRPr="00C64973" w:rsidRDefault="00B722D5" w:rsidP="00B722D5">
      <w:pPr>
        <w:pStyle w:val="Heading3"/>
      </w:pPr>
      <w:r w:rsidRPr="00C64973">
        <w:t xml:space="preserve">Table </w:t>
      </w:r>
      <w:r w:rsidR="00456A18" w:rsidRPr="00C64973">
        <w:t>10</w:t>
      </w:r>
      <w:r w:rsidRPr="00C64973">
        <w:t>: Posted Positions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93"/>
        <w:gridCol w:w="1155"/>
        <w:gridCol w:w="1155"/>
        <w:gridCol w:w="1155"/>
      </w:tblGrid>
      <w:tr w:rsidR="00B722D5" w:rsidRPr="00C64973" w14:paraId="36784FA3" w14:textId="77777777" w:rsidTr="006F3AF6">
        <w:trPr>
          <w:cantSplit/>
          <w:tblHeader/>
        </w:trPr>
        <w:tc>
          <w:tcPr>
            <w:tcW w:w="2293" w:type="dxa"/>
            <w:tcBorders>
              <w:top w:val="nil"/>
              <w:left w:val="nil"/>
              <w:right w:val="nil"/>
            </w:tcBorders>
          </w:tcPr>
          <w:p w14:paraId="7D439341" w14:textId="3C4458FD" w:rsidR="00B722D5" w:rsidRPr="00C64973" w:rsidRDefault="00B722D5" w:rsidP="004E73FA">
            <w:pPr>
              <w:pStyle w:val="Heading4"/>
              <w:spacing w:after="0"/>
            </w:pPr>
          </w:p>
        </w:tc>
        <w:tc>
          <w:tcPr>
            <w:tcW w:w="1155" w:type="dxa"/>
            <w:tcBorders>
              <w:top w:val="nil"/>
              <w:left w:val="nil"/>
              <w:right w:val="nil"/>
            </w:tcBorders>
          </w:tcPr>
          <w:p w14:paraId="247510E3" w14:textId="6021908A" w:rsidR="00B722D5" w:rsidRPr="00C64973" w:rsidRDefault="008F28E6" w:rsidP="00D42724">
            <w:pPr>
              <w:jc w:val="center"/>
              <w:rPr>
                <w:b/>
              </w:rPr>
            </w:pPr>
            <w:r w:rsidRPr="00C64973">
              <w:rPr>
                <w:b/>
              </w:rPr>
              <w:t>2018</w:t>
            </w:r>
          </w:p>
        </w:tc>
        <w:tc>
          <w:tcPr>
            <w:tcW w:w="1155" w:type="dxa"/>
            <w:tcBorders>
              <w:top w:val="nil"/>
              <w:left w:val="nil"/>
              <w:right w:val="nil"/>
            </w:tcBorders>
          </w:tcPr>
          <w:p w14:paraId="3A159A13" w14:textId="4990E5DC" w:rsidR="00B722D5" w:rsidRPr="00C64973" w:rsidRDefault="008F28E6" w:rsidP="00D42724">
            <w:pPr>
              <w:jc w:val="center"/>
              <w:rPr>
                <w:b/>
              </w:rPr>
            </w:pPr>
            <w:r w:rsidRPr="00C64973">
              <w:rPr>
                <w:b/>
              </w:rPr>
              <w:t>2019</w:t>
            </w:r>
          </w:p>
        </w:tc>
        <w:tc>
          <w:tcPr>
            <w:tcW w:w="1155" w:type="dxa"/>
            <w:tcBorders>
              <w:top w:val="nil"/>
              <w:left w:val="nil"/>
              <w:right w:val="nil"/>
            </w:tcBorders>
          </w:tcPr>
          <w:p w14:paraId="69C49AEC" w14:textId="492F2152" w:rsidR="00B722D5" w:rsidRPr="00C64973" w:rsidRDefault="008F28E6" w:rsidP="00D42724">
            <w:pPr>
              <w:jc w:val="center"/>
              <w:rPr>
                <w:b/>
              </w:rPr>
            </w:pPr>
            <w:r w:rsidRPr="00C64973">
              <w:rPr>
                <w:b/>
              </w:rPr>
              <w:t>2020</w:t>
            </w:r>
          </w:p>
        </w:tc>
      </w:tr>
      <w:tr w:rsidR="00B722D5" w:rsidRPr="00C64973" w14:paraId="48F92AA4" w14:textId="77777777" w:rsidTr="004E73FA">
        <w:trPr>
          <w:trHeight w:val="400"/>
        </w:trPr>
        <w:tc>
          <w:tcPr>
            <w:tcW w:w="2293" w:type="dxa"/>
            <w:vAlign w:val="center"/>
          </w:tcPr>
          <w:p w14:paraId="4093FC60" w14:textId="12E0922F" w:rsidR="00B722D5" w:rsidRPr="00C64973" w:rsidRDefault="00723F4D" w:rsidP="004E73FA">
            <w:pPr>
              <w:spacing w:after="0" w:line="288" w:lineRule="auto"/>
              <w:rPr>
                <w:b/>
              </w:rPr>
            </w:pPr>
            <w:r w:rsidRPr="00C64973">
              <w:rPr>
                <w:b/>
              </w:rPr>
              <w:t>TVI</w:t>
            </w:r>
            <w:r w:rsidR="00B722D5" w:rsidRPr="00C64973">
              <w:rPr>
                <w:b/>
              </w:rPr>
              <w:t>s</w:t>
            </w:r>
          </w:p>
        </w:tc>
        <w:tc>
          <w:tcPr>
            <w:tcW w:w="1155" w:type="dxa"/>
            <w:vAlign w:val="bottom"/>
          </w:tcPr>
          <w:p w14:paraId="0845D8C1" w14:textId="0B53C57E" w:rsidR="00B722D5" w:rsidRPr="00C64973" w:rsidRDefault="008F28E6" w:rsidP="004E73FA">
            <w:pPr>
              <w:spacing w:after="0" w:line="288" w:lineRule="auto"/>
              <w:jc w:val="center"/>
            </w:pPr>
            <w:r w:rsidRPr="00C64973">
              <w:t>17</w:t>
            </w:r>
          </w:p>
        </w:tc>
        <w:tc>
          <w:tcPr>
            <w:tcW w:w="1155" w:type="dxa"/>
            <w:vAlign w:val="bottom"/>
          </w:tcPr>
          <w:p w14:paraId="7A990A79" w14:textId="5558D97F" w:rsidR="00B722D5" w:rsidRPr="00C64973" w:rsidRDefault="008F28E6" w:rsidP="004E73FA">
            <w:pPr>
              <w:spacing w:after="0" w:line="288" w:lineRule="auto"/>
              <w:jc w:val="center"/>
            </w:pPr>
            <w:r w:rsidRPr="00C64973">
              <w:t>22</w:t>
            </w:r>
          </w:p>
        </w:tc>
        <w:tc>
          <w:tcPr>
            <w:tcW w:w="1155" w:type="dxa"/>
            <w:vAlign w:val="bottom"/>
          </w:tcPr>
          <w:p w14:paraId="5C33C428" w14:textId="16A312C0" w:rsidR="00B722D5" w:rsidRPr="00C64973" w:rsidRDefault="008F28E6" w:rsidP="008F28E6">
            <w:pPr>
              <w:spacing w:after="0" w:line="288" w:lineRule="auto"/>
              <w:jc w:val="center"/>
            </w:pPr>
            <w:r w:rsidRPr="00C64973">
              <w:t>32</w:t>
            </w:r>
          </w:p>
        </w:tc>
      </w:tr>
      <w:tr w:rsidR="00B722D5" w:rsidRPr="00C64973" w14:paraId="19F5C329" w14:textId="77777777" w:rsidTr="004E73FA">
        <w:tc>
          <w:tcPr>
            <w:tcW w:w="2293" w:type="dxa"/>
            <w:vAlign w:val="center"/>
          </w:tcPr>
          <w:p w14:paraId="19E5B5F0" w14:textId="7EE56BB0" w:rsidR="00B722D5" w:rsidRPr="00C64973" w:rsidRDefault="00D574E5" w:rsidP="004E73FA">
            <w:pPr>
              <w:spacing w:after="0" w:line="288" w:lineRule="auto"/>
              <w:rPr>
                <w:b/>
              </w:rPr>
            </w:pPr>
            <w:r>
              <w:rPr>
                <w:b/>
              </w:rPr>
              <w:t>COMS</w:t>
            </w:r>
          </w:p>
        </w:tc>
        <w:tc>
          <w:tcPr>
            <w:tcW w:w="1155" w:type="dxa"/>
            <w:vAlign w:val="bottom"/>
          </w:tcPr>
          <w:p w14:paraId="1C81824B" w14:textId="60814F10" w:rsidR="00B722D5" w:rsidRPr="00C64973" w:rsidRDefault="008F28E6" w:rsidP="004E73FA">
            <w:pPr>
              <w:spacing w:after="0" w:line="288" w:lineRule="auto"/>
              <w:jc w:val="center"/>
            </w:pPr>
            <w:r w:rsidRPr="00C64973">
              <w:t>1</w:t>
            </w:r>
          </w:p>
        </w:tc>
        <w:tc>
          <w:tcPr>
            <w:tcW w:w="1155" w:type="dxa"/>
            <w:vAlign w:val="bottom"/>
          </w:tcPr>
          <w:p w14:paraId="2F704360" w14:textId="4A88F760" w:rsidR="00B722D5" w:rsidRPr="00C64973" w:rsidRDefault="008F28E6" w:rsidP="004E73FA">
            <w:pPr>
              <w:spacing w:after="0" w:line="288" w:lineRule="auto"/>
              <w:jc w:val="center"/>
            </w:pPr>
            <w:r w:rsidRPr="00C64973">
              <w:t>7</w:t>
            </w:r>
          </w:p>
        </w:tc>
        <w:tc>
          <w:tcPr>
            <w:tcW w:w="1155" w:type="dxa"/>
            <w:vAlign w:val="bottom"/>
          </w:tcPr>
          <w:p w14:paraId="00D58256" w14:textId="6BFF86B7" w:rsidR="00B722D5" w:rsidRPr="00C64973" w:rsidRDefault="008F28E6" w:rsidP="008F28E6">
            <w:pPr>
              <w:spacing w:after="0" w:line="288" w:lineRule="auto"/>
              <w:jc w:val="center"/>
            </w:pPr>
            <w:r w:rsidRPr="00C64973">
              <w:t>12</w:t>
            </w:r>
          </w:p>
        </w:tc>
      </w:tr>
      <w:tr w:rsidR="00B722D5" w:rsidRPr="00C64973" w14:paraId="0A3A1873" w14:textId="77777777" w:rsidTr="004E73FA">
        <w:tc>
          <w:tcPr>
            <w:tcW w:w="2293" w:type="dxa"/>
            <w:vAlign w:val="center"/>
          </w:tcPr>
          <w:p w14:paraId="044CABEE" w14:textId="09FDE29B" w:rsidR="00B722D5" w:rsidRPr="00C64973" w:rsidRDefault="00B722D5" w:rsidP="004E73FA">
            <w:pPr>
              <w:spacing w:after="0" w:line="288" w:lineRule="auto"/>
              <w:rPr>
                <w:b/>
              </w:rPr>
            </w:pPr>
            <w:r w:rsidRPr="00C64973">
              <w:rPr>
                <w:b/>
              </w:rPr>
              <w:t>Dually certified</w:t>
            </w:r>
          </w:p>
        </w:tc>
        <w:tc>
          <w:tcPr>
            <w:tcW w:w="1155" w:type="dxa"/>
            <w:vAlign w:val="bottom"/>
          </w:tcPr>
          <w:p w14:paraId="0C6C72A3" w14:textId="694C9E97" w:rsidR="00B722D5" w:rsidRPr="00C64973" w:rsidRDefault="008F28E6" w:rsidP="004E73FA">
            <w:pPr>
              <w:spacing w:after="0" w:line="288" w:lineRule="auto"/>
              <w:jc w:val="center"/>
            </w:pPr>
            <w:r w:rsidRPr="00C64973">
              <w:t>0</w:t>
            </w:r>
          </w:p>
        </w:tc>
        <w:tc>
          <w:tcPr>
            <w:tcW w:w="1155" w:type="dxa"/>
            <w:vAlign w:val="bottom"/>
          </w:tcPr>
          <w:p w14:paraId="377696A4" w14:textId="2449A808" w:rsidR="00B722D5" w:rsidRPr="00C64973" w:rsidRDefault="008F28E6" w:rsidP="004E73FA">
            <w:pPr>
              <w:spacing w:after="0" w:line="288" w:lineRule="auto"/>
              <w:jc w:val="center"/>
            </w:pPr>
            <w:r w:rsidRPr="00C64973">
              <w:t>2</w:t>
            </w:r>
          </w:p>
        </w:tc>
        <w:tc>
          <w:tcPr>
            <w:tcW w:w="1155" w:type="dxa"/>
            <w:vAlign w:val="bottom"/>
          </w:tcPr>
          <w:p w14:paraId="5B7DF558" w14:textId="3D4F6F39" w:rsidR="00B722D5" w:rsidRPr="00C64973" w:rsidRDefault="008F28E6" w:rsidP="008F28E6">
            <w:pPr>
              <w:spacing w:after="0" w:line="288" w:lineRule="auto"/>
              <w:jc w:val="center"/>
            </w:pPr>
            <w:r w:rsidRPr="00C64973">
              <w:t>3</w:t>
            </w:r>
          </w:p>
        </w:tc>
      </w:tr>
      <w:tr w:rsidR="00B722D5" w:rsidRPr="00C64973" w14:paraId="43B3F581" w14:textId="77777777" w:rsidTr="004E73FA">
        <w:tc>
          <w:tcPr>
            <w:tcW w:w="2293" w:type="dxa"/>
            <w:vAlign w:val="center"/>
          </w:tcPr>
          <w:p w14:paraId="71C8A155" w14:textId="77777777" w:rsidR="00B722D5" w:rsidRPr="00C64973" w:rsidRDefault="00B722D5" w:rsidP="004E73FA">
            <w:pPr>
              <w:spacing w:after="0" w:line="288" w:lineRule="auto"/>
              <w:rPr>
                <w:b/>
                <w:bCs/>
              </w:rPr>
            </w:pPr>
            <w:r w:rsidRPr="00C64973">
              <w:rPr>
                <w:b/>
                <w:bCs/>
              </w:rPr>
              <w:t>Total</w:t>
            </w:r>
          </w:p>
        </w:tc>
        <w:tc>
          <w:tcPr>
            <w:tcW w:w="1155" w:type="dxa"/>
            <w:vAlign w:val="bottom"/>
          </w:tcPr>
          <w:p w14:paraId="38E22481" w14:textId="3BFF793C" w:rsidR="00B722D5" w:rsidRPr="00C64973" w:rsidRDefault="008F28E6" w:rsidP="004E73FA">
            <w:pPr>
              <w:spacing w:after="0" w:line="288" w:lineRule="auto"/>
              <w:jc w:val="center"/>
              <w:rPr>
                <w:b/>
                <w:bCs/>
              </w:rPr>
            </w:pPr>
            <w:r w:rsidRPr="00C64973">
              <w:rPr>
                <w:b/>
                <w:bCs/>
              </w:rPr>
              <w:t>18</w:t>
            </w:r>
          </w:p>
        </w:tc>
        <w:tc>
          <w:tcPr>
            <w:tcW w:w="1155" w:type="dxa"/>
            <w:vAlign w:val="bottom"/>
          </w:tcPr>
          <w:p w14:paraId="569F2E9F" w14:textId="1D60E6AB" w:rsidR="00B722D5" w:rsidRPr="00C64973" w:rsidRDefault="008F28E6" w:rsidP="004E73FA">
            <w:pPr>
              <w:spacing w:after="0" w:line="288" w:lineRule="auto"/>
              <w:jc w:val="center"/>
              <w:rPr>
                <w:b/>
                <w:bCs/>
              </w:rPr>
            </w:pPr>
            <w:r w:rsidRPr="00C64973">
              <w:rPr>
                <w:b/>
                <w:bCs/>
              </w:rPr>
              <w:t>31</w:t>
            </w:r>
          </w:p>
        </w:tc>
        <w:tc>
          <w:tcPr>
            <w:tcW w:w="1155" w:type="dxa"/>
            <w:vAlign w:val="bottom"/>
          </w:tcPr>
          <w:p w14:paraId="33CC67B9" w14:textId="57B8C8C2" w:rsidR="00B722D5" w:rsidRPr="00C64973" w:rsidRDefault="008F28E6" w:rsidP="008F28E6">
            <w:pPr>
              <w:spacing w:after="0" w:line="288" w:lineRule="auto"/>
              <w:jc w:val="center"/>
              <w:rPr>
                <w:b/>
                <w:bCs/>
              </w:rPr>
            </w:pPr>
            <w:r w:rsidRPr="00C64973">
              <w:rPr>
                <w:b/>
                <w:bCs/>
              </w:rPr>
              <w:t>47</w:t>
            </w:r>
          </w:p>
        </w:tc>
      </w:tr>
    </w:tbl>
    <w:p w14:paraId="731744E3" w14:textId="216D9D6B" w:rsidR="00325DD1" w:rsidRDefault="00325DD1" w:rsidP="00B722D5">
      <w:pPr>
        <w:spacing w:line="288" w:lineRule="auto"/>
      </w:pPr>
    </w:p>
    <w:p w14:paraId="77CB184B" w14:textId="691C4A71" w:rsidR="00B64EB8" w:rsidRDefault="00B722D5" w:rsidP="00B722D5">
      <w:pPr>
        <w:spacing w:line="288" w:lineRule="auto"/>
      </w:pPr>
      <w:r w:rsidRPr="00C64973">
        <w:t>Previous formal and informal data indicates that vacancies</w:t>
      </w:r>
      <w:r w:rsidR="00926B1A" w:rsidRPr="00C64973">
        <w:t xml:space="preserve"> alone</w:t>
      </w:r>
      <w:r w:rsidR="0032675D" w:rsidRPr="00C64973">
        <w:t xml:space="preserve"> are not a strong </w:t>
      </w:r>
      <w:r w:rsidRPr="00C64973">
        <w:t xml:space="preserve">indicator of </w:t>
      </w:r>
      <w:r w:rsidR="006D5091" w:rsidRPr="00C64973">
        <w:t xml:space="preserve">actual </w:t>
      </w:r>
      <w:r w:rsidR="00392140" w:rsidRPr="00C64973">
        <w:t xml:space="preserve">need. </w:t>
      </w:r>
      <w:r w:rsidRPr="00C64973">
        <w:t>The reasons vary. Many administrators will identify a need and encourage an existing educator t</w:t>
      </w:r>
      <w:r w:rsidR="0032675D" w:rsidRPr="00C64973">
        <w:t>o become VI certified</w:t>
      </w:r>
      <w:r w:rsidR="00392140" w:rsidRPr="00C64973">
        <w:t xml:space="preserve"> rather than post a vacancy. </w:t>
      </w:r>
      <w:r w:rsidR="0032675D" w:rsidRPr="00C64973">
        <w:t>Likewise, t</w:t>
      </w:r>
      <w:r w:rsidR="005940AF" w:rsidRPr="00C64973">
        <w:t xml:space="preserve">he need for a private contract </w:t>
      </w:r>
      <w:r w:rsidR="00723F4D" w:rsidRPr="00C64973">
        <w:t>TVI</w:t>
      </w:r>
      <w:r w:rsidR="005940AF" w:rsidRPr="00C64973">
        <w:t xml:space="preserve"> or O&amp;M position</w:t>
      </w:r>
      <w:r w:rsidR="00F814D0" w:rsidRPr="00C64973">
        <w:t xml:space="preserve"> may not necessarily be posted</w:t>
      </w:r>
      <w:r w:rsidR="0032675D" w:rsidRPr="00C64973">
        <w:t>. Although at times the number of posted positions has matched or has not been far off from the number of VI professionals who left the field, da</w:t>
      </w:r>
      <w:r w:rsidR="00392140" w:rsidRPr="00C64973">
        <w:t xml:space="preserve">ta collected over the past 25 years </w:t>
      </w:r>
      <w:r w:rsidR="00B83DB7" w:rsidRPr="00C64973">
        <w:t xml:space="preserve">indicates a </w:t>
      </w:r>
      <w:r w:rsidR="008D7882" w:rsidRPr="00C64973">
        <w:t xml:space="preserve">poor correlation between vacancies in September and the </w:t>
      </w:r>
      <w:r w:rsidR="0032675D" w:rsidRPr="00C64973">
        <w:t xml:space="preserve">actual </w:t>
      </w:r>
      <w:r w:rsidR="008D7882" w:rsidRPr="00C64973">
        <w:t>need for VI professionals</w:t>
      </w:r>
      <w:r w:rsidR="0032675D" w:rsidRPr="00C64973">
        <w:t xml:space="preserve">. </w:t>
      </w:r>
    </w:p>
    <w:p w14:paraId="2B7727F8" w14:textId="2BB55D41" w:rsidR="00325DD1" w:rsidRPr="00607B8D" w:rsidRDefault="00325DD1" w:rsidP="00607B8D">
      <w:pPr>
        <w:spacing w:line="288" w:lineRule="auto"/>
      </w:pPr>
      <w:r w:rsidRPr="00325DD1">
        <w:rPr>
          <w:b/>
          <w:sz w:val="20"/>
        </w:rPr>
        <w:t>G</w:t>
      </w:r>
      <w:r w:rsidR="00252311" w:rsidRPr="00325DD1">
        <w:rPr>
          <w:b/>
          <w:sz w:val="20"/>
        </w:rPr>
        <w:t>raph</w:t>
      </w:r>
      <w:r w:rsidR="008310FD" w:rsidRPr="00325DD1">
        <w:rPr>
          <w:b/>
          <w:sz w:val="20"/>
        </w:rPr>
        <w:t xml:space="preserve"> </w:t>
      </w:r>
      <w:r w:rsidR="00252311" w:rsidRPr="00325DD1">
        <w:rPr>
          <w:b/>
          <w:sz w:val="20"/>
        </w:rPr>
        <w:t>6</w:t>
      </w:r>
      <w:r w:rsidRPr="00325DD1">
        <w:rPr>
          <w:b/>
          <w:sz w:val="20"/>
        </w:rPr>
        <w:t xml:space="preserve">: Posted Vacancies for VI Professionals </w:t>
      </w:r>
    </w:p>
    <w:p w14:paraId="2B7232E6" w14:textId="651634DE" w:rsidR="00325DD1" w:rsidRPr="00607B8D" w:rsidRDefault="00325DD1" w:rsidP="00325DD1">
      <w:pPr>
        <w:pStyle w:val="Caption"/>
        <w:keepNext/>
        <w:rPr>
          <w:b w:val="0"/>
          <w:sz w:val="19"/>
          <w:szCs w:val="19"/>
        </w:rPr>
      </w:pPr>
      <w:r w:rsidRPr="00607B8D">
        <w:rPr>
          <w:b w:val="0"/>
          <w:sz w:val="19"/>
          <w:szCs w:val="19"/>
        </w:rPr>
        <w:t>Data shows a general upward slope of vacancies for both TVIs and COMS through 2014. Vacancies fell through 2018 before climbing to 31 in 2019 and again in 2020 with a total of 47 vacancies.</w:t>
      </w:r>
    </w:p>
    <w:tbl>
      <w:tblPr>
        <w:tblW w:w="0" w:type="auto"/>
        <w:tblLook w:val="04A0" w:firstRow="1" w:lastRow="0" w:firstColumn="1" w:lastColumn="0" w:noHBand="0" w:noVBand="1"/>
      </w:tblPr>
      <w:tblGrid>
        <w:gridCol w:w="1539"/>
        <w:gridCol w:w="222"/>
        <w:gridCol w:w="222"/>
        <w:gridCol w:w="661"/>
        <w:gridCol w:w="661"/>
        <w:gridCol w:w="661"/>
        <w:gridCol w:w="661"/>
        <w:gridCol w:w="661"/>
        <w:gridCol w:w="661"/>
        <w:gridCol w:w="661"/>
        <w:gridCol w:w="661"/>
        <w:gridCol w:w="661"/>
        <w:gridCol w:w="661"/>
        <w:gridCol w:w="661"/>
      </w:tblGrid>
      <w:tr w:rsidR="00325DD1" w:rsidRPr="00325DD1" w14:paraId="6C0ACC7A" w14:textId="77777777" w:rsidTr="00325DD1">
        <w:trPr>
          <w:trHeight w:val="300"/>
        </w:trPr>
        <w:tc>
          <w:tcPr>
            <w:tcW w:w="0" w:type="auto"/>
            <w:tcBorders>
              <w:top w:val="nil"/>
              <w:left w:val="nil"/>
              <w:bottom w:val="nil"/>
              <w:right w:val="nil"/>
            </w:tcBorders>
            <w:shd w:val="clear" w:color="FFFF00" w:fill="FFFF00"/>
            <w:vAlign w:val="bottom"/>
            <w:hideMark/>
          </w:tcPr>
          <w:p w14:paraId="7F9D638B" w14:textId="3257200E" w:rsidR="00325DD1" w:rsidRPr="00325DD1" w:rsidRDefault="00325DD1" w:rsidP="00325DD1">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5400D9DC" w14:textId="77777777" w:rsidR="00325DD1" w:rsidRPr="00325DD1" w:rsidRDefault="00325DD1" w:rsidP="00325DD1">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FB2AB42" w14:textId="77777777" w:rsidR="00325DD1" w:rsidRPr="00325DD1" w:rsidRDefault="00325DD1" w:rsidP="00325DD1">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460D0C1" w14:textId="34D92FD7" w:rsidR="00325DD1" w:rsidRPr="00325DD1" w:rsidRDefault="00325DD1" w:rsidP="00325DD1">
            <w:pPr>
              <w:spacing w:after="0" w:line="240" w:lineRule="auto"/>
              <w:jc w:val="right"/>
              <w:rPr>
                <w:rFonts w:cs="Arial"/>
                <w:sz w:val="20"/>
              </w:rPr>
            </w:pPr>
            <w:r w:rsidRPr="00325DD1">
              <w:rPr>
                <w:rFonts w:cs="Arial"/>
                <w:sz w:val="20"/>
              </w:rPr>
              <w:t>2010</w:t>
            </w:r>
          </w:p>
        </w:tc>
        <w:tc>
          <w:tcPr>
            <w:tcW w:w="0" w:type="auto"/>
            <w:tcBorders>
              <w:top w:val="nil"/>
              <w:left w:val="nil"/>
              <w:bottom w:val="nil"/>
              <w:right w:val="nil"/>
            </w:tcBorders>
            <w:shd w:val="clear" w:color="auto" w:fill="auto"/>
            <w:noWrap/>
            <w:vAlign w:val="bottom"/>
            <w:hideMark/>
          </w:tcPr>
          <w:p w14:paraId="5135446B" w14:textId="13BFDC14" w:rsidR="00325DD1" w:rsidRPr="00325DD1" w:rsidRDefault="00325DD1" w:rsidP="00325DD1">
            <w:pPr>
              <w:spacing w:after="0" w:line="240" w:lineRule="auto"/>
              <w:jc w:val="right"/>
              <w:rPr>
                <w:rFonts w:cs="Arial"/>
                <w:sz w:val="20"/>
              </w:rPr>
            </w:pPr>
            <w:r w:rsidRPr="00325DD1">
              <w:rPr>
                <w:rFonts w:cs="Arial"/>
                <w:sz w:val="20"/>
              </w:rPr>
              <w:t>2011</w:t>
            </w:r>
          </w:p>
        </w:tc>
        <w:tc>
          <w:tcPr>
            <w:tcW w:w="0" w:type="auto"/>
            <w:tcBorders>
              <w:top w:val="nil"/>
              <w:left w:val="nil"/>
              <w:bottom w:val="nil"/>
              <w:right w:val="nil"/>
            </w:tcBorders>
            <w:shd w:val="clear" w:color="auto" w:fill="auto"/>
            <w:noWrap/>
            <w:vAlign w:val="bottom"/>
            <w:hideMark/>
          </w:tcPr>
          <w:p w14:paraId="038EA194" w14:textId="77777777" w:rsidR="00325DD1" w:rsidRPr="00325DD1" w:rsidRDefault="00325DD1" w:rsidP="00325DD1">
            <w:pPr>
              <w:spacing w:after="0" w:line="240" w:lineRule="auto"/>
              <w:jc w:val="right"/>
              <w:rPr>
                <w:rFonts w:cs="Arial"/>
                <w:sz w:val="20"/>
              </w:rPr>
            </w:pPr>
            <w:r w:rsidRPr="00325DD1">
              <w:rPr>
                <w:rFonts w:cs="Arial"/>
                <w:sz w:val="20"/>
              </w:rPr>
              <w:t>2012</w:t>
            </w:r>
          </w:p>
        </w:tc>
        <w:tc>
          <w:tcPr>
            <w:tcW w:w="0" w:type="auto"/>
            <w:tcBorders>
              <w:top w:val="nil"/>
              <w:left w:val="nil"/>
              <w:bottom w:val="nil"/>
              <w:right w:val="nil"/>
            </w:tcBorders>
            <w:shd w:val="clear" w:color="auto" w:fill="auto"/>
            <w:noWrap/>
            <w:vAlign w:val="bottom"/>
            <w:hideMark/>
          </w:tcPr>
          <w:p w14:paraId="11D9630A" w14:textId="6D657AEA" w:rsidR="00325DD1" w:rsidRPr="00325DD1" w:rsidRDefault="00325DD1" w:rsidP="00325DD1">
            <w:pPr>
              <w:spacing w:after="0" w:line="240" w:lineRule="auto"/>
              <w:jc w:val="right"/>
              <w:rPr>
                <w:rFonts w:cs="Arial"/>
                <w:sz w:val="20"/>
              </w:rPr>
            </w:pPr>
            <w:r w:rsidRPr="00325DD1">
              <w:rPr>
                <w:rFonts w:cs="Arial"/>
                <w:sz w:val="20"/>
              </w:rPr>
              <w:t>2013</w:t>
            </w:r>
          </w:p>
        </w:tc>
        <w:tc>
          <w:tcPr>
            <w:tcW w:w="0" w:type="auto"/>
            <w:tcBorders>
              <w:top w:val="nil"/>
              <w:left w:val="nil"/>
              <w:bottom w:val="nil"/>
              <w:right w:val="nil"/>
            </w:tcBorders>
            <w:shd w:val="clear" w:color="auto" w:fill="auto"/>
            <w:noWrap/>
            <w:vAlign w:val="bottom"/>
            <w:hideMark/>
          </w:tcPr>
          <w:p w14:paraId="5BB939EB" w14:textId="4CFD3B43" w:rsidR="00325DD1" w:rsidRPr="00325DD1" w:rsidRDefault="00607B8D" w:rsidP="00325DD1">
            <w:pPr>
              <w:spacing w:after="0" w:line="240" w:lineRule="auto"/>
              <w:jc w:val="right"/>
              <w:rPr>
                <w:rFonts w:cs="Arial"/>
                <w:sz w:val="20"/>
              </w:rPr>
            </w:pPr>
            <w:r w:rsidRPr="00607B8D">
              <w:rPr>
                <w:b/>
                <w:noProof/>
                <w:sz w:val="19"/>
                <w:szCs w:val="19"/>
              </w:rPr>
              <w:drawing>
                <wp:anchor distT="0" distB="0" distL="114300" distR="114300" simplePos="0" relativeHeight="251756032" behindDoc="0" locked="0" layoutInCell="1" allowOverlap="1" wp14:anchorId="0270BEF6" wp14:editId="5DB0E14A">
                  <wp:simplePos x="0" y="0"/>
                  <wp:positionH relativeFrom="margin">
                    <wp:posOffset>-3094990</wp:posOffset>
                  </wp:positionH>
                  <wp:positionV relativeFrom="page">
                    <wp:posOffset>-970915</wp:posOffset>
                  </wp:positionV>
                  <wp:extent cx="6362700" cy="2319655"/>
                  <wp:effectExtent l="0" t="0" r="0" b="444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62700" cy="2319655"/>
                          </a:xfrm>
                          <a:prstGeom prst="rect">
                            <a:avLst/>
                          </a:prstGeom>
                          <a:noFill/>
                        </pic:spPr>
                      </pic:pic>
                    </a:graphicData>
                  </a:graphic>
                  <wp14:sizeRelH relativeFrom="margin">
                    <wp14:pctWidth>0</wp14:pctWidth>
                  </wp14:sizeRelH>
                  <wp14:sizeRelV relativeFrom="margin">
                    <wp14:pctHeight>0</wp14:pctHeight>
                  </wp14:sizeRelV>
                </wp:anchor>
              </w:drawing>
            </w:r>
            <w:r w:rsidR="00325DD1" w:rsidRPr="00325DD1">
              <w:rPr>
                <w:rFonts w:cs="Arial"/>
                <w:sz w:val="20"/>
              </w:rPr>
              <w:t>2014</w:t>
            </w:r>
          </w:p>
        </w:tc>
        <w:tc>
          <w:tcPr>
            <w:tcW w:w="0" w:type="auto"/>
            <w:tcBorders>
              <w:top w:val="nil"/>
              <w:left w:val="nil"/>
              <w:bottom w:val="nil"/>
              <w:right w:val="nil"/>
            </w:tcBorders>
            <w:shd w:val="clear" w:color="auto" w:fill="auto"/>
            <w:noWrap/>
            <w:vAlign w:val="bottom"/>
            <w:hideMark/>
          </w:tcPr>
          <w:p w14:paraId="6BEFCA8E" w14:textId="04DBE3A9" w:rsidR="00325DD1" w:rsidRPr="00325DD1" w:rsidRDefault="00325DD1" w:rsidP="00325DD1">
            <w:pPr>
              <w:spacing w:after="0" w:line="240" w:lineRule="auto"/>
              <w:jc w:val="right"/>
              <w:rPr>
                <w:rFonts w:cs="Arial"/>
                <w:sz w:val="20"/>
              </w:rPr>
            </w:pPr>
            <w:r w:rsidRPr="00325DD1">
              <w:rPr>
                <w:rFonts w:cs="Arial"/>
                <w:sz w:val="20"/>
              </w:rPr>
              <w:t>2015</w:t>
            </w:r>
          </w:p>
        </w:tc>
        <w:tc>
          <w:tcPr>
            <w:tcW w:w="0" w:type="auto"/>
            <w:tcBorders>
              <w:top w:val="nil"/>
              <w:left w:val="nil"/>
              <w:bottom w:val="nil"/>
              <w:right w:val="nil"/>
            </w:tcBorders>
            <w:shd w:val="clear" w:color="auto" w:fill="auto"/>
            <w:noWrap/>
            <w:vAlign w:val="bottom"/>
            <w:hideMark/>
          </w:tcPr>
          <w:p w14:paraId="693A8FC9" w14:textId="77777777" w:rsidR="00325DD1" w:rsidRPr="00325DD1" w:rsidRDefault="00325DD1" w:rsidP="00325DD1">
            <w:pPr>
              <w:spacing w:after="0" w:line="240" w:lineRule="auto"/>
              <w:jc w:val="right"/>
              <w:rPr>
                <w:rFonts w:cs="Arial"/>
                <w:sz w:val="20"/>
              </w:rPr>
            </w:pPr>
            <w:r w:rsidRPr="00325DD1">
              <w:rPr>
                <w:rFonts w:cs="Arial"/>
                <w:sz w:val="20"/>
              </w:rPr>
              <w:t>2016</w:t>
            </w:r>
          </w:p>
        </w:tc>
        <w:tc>
          <w:tcPr>
            <w:tcW w:w="0" w:type="auto"/>
            <w:tcBorders>
              <w:top w:val="nil"/>
              <w:left w:val="nil"/>
              <w:bottom w:val="nil"/>
              <w:right w:val="nil"/>
            </w:tcBorders>
            <w:shd w:val="clear" w:color="auto" w:fill="auto"/>
            <w:noWrap/>
            <w:vAlign w:val="bottom"/>
            <w:hideMark/>
          </w:tcPr>
          <w:p w14:paraId="06AB08EF" w14:textId="77777777" w:rsidR="00325DD1" w:rsidRPr="00325DD1" w:rsidRDefault="00325DD1" w:rsidP="00325DD1">
            <w:pPr>
              <w:spacing w:after="0" w:line="240" w:lineRule="auto"/>
              <w:jc w:val="right"/>
              <w:rPr>
                <w:rFonts w:cs="Arial"/>
                <w:sz w:val="20"/>
              </w:rPr>
            </w:pPr>
            <w:r w:rsidRPr="00325DD1">
              <w:rPr>
                <w:rFonts w:cs="Arial"/>
                <w:sz w:val="20"/>
              </w:rPr>
              <w:t>2017</w:t>
            </w:r>
          </w:p>
        </w:tc>
        <w:tc>
          <w:tcPr>
            <w:tcW w:w="0" w:type="auto"/>
            <w:tcBorders>
              <w:top w:val="nil"/>
              <w:left w:val="nil"/>
              <w:bottom w:val="nil"/>
              <w:right w:val="nil"/>
            </w:tcBorders>
            <w:shd w:val="clear" w:color="auto" w:fill="auto"/>
            <w:noWrap/>
            <w:vAlign w:val="bottom"/>
            <w:hideMark/>
          </w:tcPr>
          <w:p w14:paraId="6A82766A" w14:textId="77777777" w:rsidR="00325DD1" w:rsidRPr="00325DD1" w:rsidRDefault="00325DD1" w:rsidP="00325DD1">
            <w:pPr>
              <w:spacing w:after="0" w:line="240" w:lineRule="auto"/>
              <w:jc w:val="right"/>
              <w:rPr>
                <w:rFonts w:cs="Arial"/>
                <w:sz w:val="20"/>
              </w:rPr>
            </w:pPr>
            <w:r w:rsidRPr="00325DD1">
              <w:rPr>
                <w:rFonts w:cs="Arial"/>
                <w:sz w:val="20"/>
              </w:rPr>
              <w:t>2018</w:t>
            </w:r>
          </w:p>
        </w:tc>
        <w:tc>
          <w:tcPr>
            <w:tcW w:w="0" w:type="auto"/>
            <w:tcBorders>
              <w:top w:val="nil"/>
              <w:left w:val="nil"/>
              <w:bottom w:val="nil"/>
              <w:right w:val="nil"/>
            </w:tcBorders>
            <w:shd w:val="clear" w:color="auto" w:fill="auto"/>
            <w:noWrap/>
            <w:vAlign w:val="bottom"/>
            <w:hideMark/>
          </w:tcPr>
          <w:p w14:paraId="2A05A630" w14:textId="77777777" w:rsidR="00325DD1" w:rsidRPr="00325DD1" w:rsidRDefault="00325DD1" w:rsidP="00325DD1">
            <w:pPr>
              <w:spacing w:after="0" w:line="240" w:lineRule="auto"/>
              <w:jc w:val="right"/>
              <w:rPr>
                <w:rFonts w:cs="Arial"/>
                <w:sz w:val="20"/>
              </w:rPr>
            </w:pPr>
            <w:r w:rsidRPr="00325DD1">
              <w:rPr>
                <w:rFonts w:cs="Arial"/>
                <w:sz w:val="20"/>
              </w:rPr>
              <w:t>2019</w:t>
            </w:r>
          </w:p>
        </w:tc>
        <w:tc>
          <w:tcPr>
            <w:tcW w:w="0" w:type="auto"/>
            <w:tcBorders>
              <w:top w:val="nil"/>
              <w:left w:val="nil"/>
              <w:bottom w:val="nil"/>
              <w:right w:val="nil"/>
            </w:tcBorders>
            <w:shd w:val="clear" w:color="auto" w:fill="auto"/>
            <w:noWrap/>
            <w:vAlign w:val="bottom"/>
            <w:hideMark/>
          </w:tcPr>
          <w:p w14:paraId="35C54592" w14:textId="77777777" w:rsidR="00325DD1" w:rsidRPr="00325DD1" w:rsidRDefault="00325DD1" w:rsidP="00325DD1">
            <w:pPr>
              <w:spacing w:after="0" w:line="240" w:lineRule="auto"/>
              <w:jc w:val="right"/>
              <w:rPr>
                <w:rFonts w:cs="Arial"/>
                <w:sz w:val="20"/>
              </w:rPr>
            </w:pPr>
            <w:r w:rsidRPr="00325DD1">
              <w:rPr>
                <w:rFonts w:cs="Arial"/>
                <w:sz w:val="20"/>
              </w:rPr>
              <w:t>2020</w:t>
            </w:r>
          </w:p>
        </w:tc>
      </w:tr>
      <w:tr w:rsidR="00325DD1" w:rsidRPr="00325DD1" w14:paraId="6499D8D6" w14:textId="77777777" w:rsidTr="00325DD1">
        <w:trPr>
          <w:trHeight w:val="255"/>
        </w:trPr>
        <w:tc>
          <w:tcPr>
            <w:tcW w:w="0" w:type="auto"/>
            <w:tcBorders>
              <w:top w:val="nil"/>
              <w:left w:val="nil"/>
              <w:bottom w:val="nil"/>
              <w:right w:val="nil"/>
            </w:tcBorders>
            <w:shd w:val="clear" w:color="auto" w:fill="auto"/>
            <w:vAlign w:val="bottom"/>
            <w:hideMark/>
          </w:tcPr>
          <w:p w14:paraId="7553475F" w14:textId="77777777" w:rsidR="00325DD1" w:rsidRPr="00325DD1" w:rsidRDefault="00325DD1" w:rsidP="00325DD1">
            <w:pPr>
              <w:spacing w:after="0" w:line="240" w:lineRule="auto"/>
              <w:rPr>
                <w:rFonts w:cs="Arial"/>
                <w:sz w:val="20"/>
              </w:rPr>
            </w:pPr>
            <w:r w:rsidRPr="00325DD1">
              <w:rPr>
                <w:rFonts w:cs="Arial"/>
                <w:sz w:val="20"/>
              </w:rPr>
              <w:t xml:space="preserve"> VI Positions</w:t>
            </w:r>
          </w:p>
        </w:tc>
        <w:tc>
          <w:tcPr>
            <w:tcW w:w="0" w:type="auto"/>
            <w:tcBorders>
              <w:top w:val="nil"/>
              <w:left w:val="nil"/>
              <w:bottom w:val="nil"/>
              <w:right w:val="nil"/>
            </w:tcBorders>
            <w:shd w:val="clear" w:color="auto" w:fill="auto"/>
            <w:noWrap/>
            <w:vAlign w:val="bottom"/>
            <w:hideMark/>
          </w:tcPr>
          <w:p w14:paraId="16E60CD0" w14:textId="77777777" w:rsidR="00325DD1" w:rsidRPr="00325DD1" w:rsidRDefault="00325DD1" w:rsidP="00325DD1">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12864070" w14:textId="77777777" w:rsidR="00325DD1" w:rsidRPr="00325DD1" w:rsidRDefault="00325DD1" w:rsidP="00325DD1">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362B6FE" w14:textId="44884024" w:rsidR="00325DD1" w:rsidRPr="00325DD1" w:rsidRDefault="00325DD1" w:rsidP="00325DD1">
            <w:pPr>
              <w:spacing w:after="0" w:line="240" w:lineRule="auto"/>
              <w:jc w:val="right"/>
              <w:rPr>
                <w:rFonts w:cs="Arial"/>
                <w:sz w:val="20"/>
              </w:rPr>
            </w:pPr>
            <w:r w:rsidRPr="00325DD1">
              <w:rPr>
                <w:rFonts w:cs="Arial"/>
                <w:sz w:val="20"/>
              </w:rPr>
              <w:t>6</w:t>
            </w:r>
          </w:p>
        </w:tc>
        <w:tc>
          <w:tcPr>
            <w:tcW w:w="0" w:type="auto"/>
            <w:tcBorders>
              <w:top w:val="nil"/>
              <w:left w:val="nil"/>
              <w:bottom w:val="nil"/>
              <w:right w:val="nil"/>
            </w:tcBorders>
            <w:shd w:val="clear" w:color="auto" w:fill="auto"/>
            <w:noWrap/>
            <w:vAlign w:val="bottom"/>
            <w:hideMark/>
          </w:tcPr>
          <w:p w14:paraId="3D1311DB" w14:textId="7F2A595B" w:rsidR="00325DD1" w:rsidRPr="00325DD1" w:rsidRDefault="00325DD1" w:rsidP="00325DD1">
            <w:pPr>
              <w:spacing w:after="0" w:line="240" w:lineRule="auto"/>
              <w:jc w:val="right"/>
              <w:rPr>
                <w:rFonts w:cs="Arial"/>
                <w:sz w:val="20"/>
              </w:rPr>
            </w:pPr>
            <w:r w:rsidRPr="00325DD1">
              <w:rPr>
                <w:rFonts w:cs="Arial"/>
                <w:sz w:val="20"/>
              </w:rPr>
              <w:t>7</w:t>
            </w:r>
          </w:p>
        </w:tc>
        <w:tc>
          <w:tcPr>
            <w:tcW w:w="0" w:type="auto"/>
            <w:tcBorders>
              <w:top w:val="nil"/>
              <w:left w:val="nil"/>
              <w:bottom w:val="nil"/>
              <w:right w:val="nil"/>
            </w:tcBorders>
            <w:shd w:val="clear" w:color="auto" w:fill="auto"/>
            <w:noWrap/>
            <w:vAlign w:val="bottom"/>
            <w:hideMark/>
          </w:tcPr>
          <w:p w14:paraId="1FA0C166" w14:textId="1E969746" w:rsidR="00325DD1" w:rsidRPr="00325DD1" w:rsidRDefault="00325DD1" w:rsidP="00325DD1">
            <w:pPr>
              <w:spacing w:after="0" w:line="240" w:lineRule="auto"/>
              <w:jc w:val="right"/>
              <w:rPr>
                <w:rFonts w:cs="Arial"/>
                <w:sz w:val="20"/>
              </w:rPr>
            </w:pPr>
            <w:r w:rsidRPr="00325DD1">
              <w:rPr>
                <w:rFonts w:cs="Arial"/>
                <w:sz w:val="20"/>
              </w:rPr>
              <w:t>14</w:t>
            </w:r>
          </w:p>
        </w:tc>
        <w:tc>
          <w:tcPr>
            <w:tcW w:w="0" w:type="auto"/>
            <w:tcBorders>
              <w:top w:val="nil"/>
              <w:left w:val="nil"/>
              <w:bottom w:val="nil"/>
              <w:right w:val="nil"/>
            </w:tcBorders>
            <w:shd w:val="clear" w:color="auto" w:fill="auto"/>
            <w:noWrap/>
            <w:vAlign w:val="bottom"/>
            <w:hideMark/>
          </w:tcPr>
          <w:p w14:paraId="75281A6D" w14:textId="5566BB9A" w:rsidR="00325DD1" w:rsidRPr="00325DD1" w:rsidRDefault="00325DD1" w:rsidP="00325DD1">
            <w:pPr>
              <w:spacing w:after="0" w:line="240" w:lineRule="auto"/>
              <w:jc w:val="right"/>
              <w:rPr>
                <w:rFonts w:cs="Arial"/>
                <w:sz w:val="20"/>
              </w:rPr>
            </w:pPr>
            <w:r w:rsidRPr="00325DD1">
              <w:rPr>
                <w:rFonts w:cs="Arial"/>
                <w:sz w:val="20"/>
              </w:rPr>
              <w:t>14</w:t>
            </w:r>
          </w:p>
        </w:tc>
        <w:tc>
          <w:tcPr>
            <w:tcW w:w="0" w:type="auto"/>
            <w:tcBorders>
              <w:top w:val="nil"/>
              <w:left w:val="nil"/>
              <w:bottom w:val="nil"/>
              <w:right w:val="nil"/>
            </w:tcBorders>
            <w:shd w:val="clear" w:color="auto" w:fill="auto"/>
            <w:noWrap/>
            <w:vAlign w:val="bottom"/>
            <w:hideMark/>
          </w:tcPr>
          <w:p w14:paraId="1E8AC687" w14:textId="46B1192A" w:rsidR="00325DD1" w:rsidRPr="00325DD1" w:rsidRDefault="00325DD1" w:rsidP="00325DD1">
            <w:pPr>
              <w:spacing w:after="0" w:line="240" w:lineRule="auto"/>
              <w:jc w:val="right"/>
              <w:rPr>
                <w:rFonts w:cs="Arial"/>
                <w:sz w:val="20"/>
              </w:rPr>
            </w:pPr>
            <w:r w:rsidRPr="00325DD1">
              <w:rPr>
                <w:rFonts w:cs="Arial"/>
                <w:sz w:val="20"/>
              </w:rPr>
              <w:t>28</w:t>
            </w:r>
          </w:p>
        </w:tc>
        <w:tc>
          <w:tcPr>
            <w:tcW w:w="0" w:type="auto"/>
            <w:tcBorders>
              <w:top w:val="nil"/>
              <w:left w:val="nil"/>
              <w:bottom w:val="nil"/>
              <w:right w:val="nil"/>
            </w:tcBorders>
            <w:shd w:val="clear" w:color="auto" w:fill="auto"/>
            <w:noWrap/>
            <w:vAlign w:val="bottom"/>
            <w:hideMark/>
          </w:tcPr>
          <w:p w14:paraId="4CEEF77E" w14:textId="77777777" w:rsidR="00325DD1" w:rsidRPr="00325DD1" w:rsidRDefault="00325DD1" w:rsidP="00325DD1">
            <w:pPr>
              <w:spacing w:after="0" w:line="240" w:lineRule="auto"/>
              <w:jc w:val="right"/>
              <w:rPr>
                <w:rFonts w:cs="Arial"/>
                <w:sz w:val="20"/>
              </w:rPr>
            </w:pPr>
            <w:r w:rsidRPr="00325DD1">
              <w:rPr>
                <w:rFonts w:cs="Arial"/>
                <w:sz w:val="20"/>
              </w:rPr>
              <w:t>24</w:t>
            </w:r>
          </w:p>
        </w:tc>
        <w:tc>
          <w:tcPr>
            <w:tcW w:w="0" w:type="auto"/>
            <w:tcBorders>
              <w:top w:val="nil"/>
              <w:left w:val="nil"/>
              <w:bottom w:val="nil"/>
              <w:right w:val="nil"/>
            </w:tcBorders>
            <w:shd w:val="clear" w:color="auto" w:fill="auto"/>
            <w:noWrap/>
            <w:vAlign w:val="bottom"/>
            <w:hideMark/>
          </w:tcPr>
          <w:p w14:paraId="06997D6F" w14:textId="02CFE16E" w:rsidR="00325DD1" w:rsidRPr="00325DD1" w:rsidRDefault="00325DD1" w:rsidP="00325DD1">
            <w:pPr>
              <w:spacing w:after="0" w:line="240" w:lineRule="auto"/>
              <w:jc w:val="right"/>
              <w:rPr>
                <w:rFonts w:cs="Arial"/>
                <w:sz w:val="20"/>
              </w:rPr>
            </w:pPr>
            <w:r w:rsidRPr="00325DD1">
              <w:rPr>
                <w:rFonts w:cs="Arial"/>
                <w:sz w:val="20"/>
              </w:rPr>
              <w:t>27</w:t>
            </w:r>
          </w:p>
        </w:tc>
        <w:tc>
          <w:tcPr>
            <w:tcW w:w="0" w:type="auto"/>
            <w:tcBorders>
              <w:top w:val="nil"/>
              <w:left w:val="nil"/>
              <w:bottom w:val="nil"/>
              <w:right w:val="nil"/>
            </w:tcBorders>
            <w:shd w:val="clear" w:color="auto" w:fill="auto"/>
            <w:noWrap/>
            <w:vAlign w:val="bottom"/>
            <w:hideMark/>
          </w:tcPr>
          <w:p w14:paraId="496DCAF0" w14:textId="77777777" w:rsidR="00325DD1" w:rsidRPr="00325DD1" w:rsidRDefault="00325DD1" w:rsidP="00325DD1">
            <w:pPr>
              <w:spacing w:after="0" w:line="240" w:lineRule="auto"/>
              <w:jc w:val="right"/>
              <w:rPr>
                <w:rFonts w:cs="Arial"/>
                <w:sz w:val="20"/>
              </w:rPr>
            </w:pPr>
            <w:r w:rsidRPr="00325DD1">
              <w:rPr>
                <w:rFonts w:cs="Arial"/>
                <w:sz w:val="20"/>
              </w:rPr>
              <w:t>19</w:t>
            </w:r>
          </w:p>
        </w:tc>
        <w:tc>
          <w:tcPr>
            <w:tcW w:w="0" w:type="auto"/>
            <w:tcBorders>
              <w:top w:val="nil"/>
              <w:left w:val="nil"/>
              <w:bottom w:val="nil"/>
              <w:right w:val="nil"/>
            </w:tcBorders>
            <w:shd w:val="clear" w:color="auto" w:fill="auto"/>
            <w:noWrap/>
            <w:vAlign w:val="bottom"/>
            <w:hideMark/>
          </w:tcPr>
          <w:p w14:paraId="140F3B32" w14:textId="77777777" w:rsidR="00325DD1" w:rsidRPr="00325DD1" w:rsidRDefault="00325DD1" w:rsidP="00325DD1">
            <w:pPr>
              <w:spacing w:after="0" w:line="240" w:lineRule="auto"/>
              <w:jc w:val="right"/>
              <w:rPr>
                <w:rFonts w:cs="Arial"/>
                <w:sz w:val="20"/>
              </w:rPr>
            </w:pPr>
            <w:r w:rsidRPr="00325DD1">
              <w:rPr>
                <w:rFonts w:cs="Arial"/>
                <w:sz w:val="20"/>
              </w:rPr>
              <w:t>17</w:t>
            </w:r>
          </w:p>
        </w:tc>
        <w:tc>
          <w:tcPr>
            <w:tcW w:w="0" w:type="auto"/>
            <w:tcBorders>
              <w:top w:val="nil"/>
              <w:left w:val="nil"/>
              <w:bottom w:val="nil"/>
              <w:right w:val="nil"/>
            </w:tcBorders>
            <w:shd w:val="clear" w:color="auto" w:fill="auto"/>
            <w:noWrap/>
            <w:vAlign w:val="bottom"/>
            <w:hideMark/>
          </w:tcPr>
          <w:p w14:paraId="275EB71F" w14:textId="77777777" w:rsidR="00325DD1" w:rsidRPr="00325DD1" w:rsidRDefault="00325DD1" w:rsidP="00325DD1">
            <w:pPr>
              <w:spacing w:after="0" w:line="240" w:lineRule="auto"/>
              <w:jc w:val="right"/>
              <w:rPr>
                <w:rFonts w:cs="Arial"/>
                <w:sz w:val="20"/>
              </w:rPr>
            </w:pPr>
            <w:r w:rsidRPr="00325DD1">
              <w:rPr>
                <w:rFonts w:cs="Arial"/>
                <w:sz w:val="20"/>
              </w:rPr>
              <w:t>22</w:t>
            </w:r>
          </w:p>
        </w:tc>
        <w:tc>
          <w:tcPr>
            <w:tcW w:w="0" w:type="auto"/>
            <w:tcBorders>
              <w:top w:val="nil"/>
              <w:left w:val="nil"/>
              <w:bottom w:val="nil"/>
              <w:right w:val="nil"/>
            </w:tcBorders>
            <w:shd w:val="clear" w:color="auto" w:fill="auto"/>
            <w:noWrap/>
            <w:vAlign w:val="bottom"/>
            <w:hideMark/>
          </w:tcPr>
          <w:p w14:paraId="77A3DE73" w14:textId="77777777" w:rsidR="00325DD1" w:rsidRPr="00325DD1" w:rsidRDefault="00325DD1" w:rsidP="00325DD1">
            <w:pPr>
              <w:spacing w:after="0" w:line="240" w:lineRule="auto"/>
              <w:jc w:val="right"/>
              <w:rPr>
                <w:rFonts w:cs="Arial"/>
                <w:sz w:val="20"/>
              </w:rPr>
            </w:pPr>
            <w:r w:rsidRPr="00325DD1">
              <w:rPr>
                <w:rFonts w:cs="Arial"/>
                <w:sz w:val="20"/>
              </w:rPr>
              <w:t>32</w:t>
            </w:r>
          </w:p>
        </w:tc>
      </w:tr>
      <w:tr w:rsidR="00325DD1" w:rsidRPr="00325DD1" w14:paraId="5D030231" w14:textId="77777777" w:rsidTr="00325DD1">
        <w:trPr>
          <w:trHeight w:val="255"/>
        </w:trPr>
        <w:tc>
          <w:tcPr>
            <w:tcW w:w="0" w:type="auto"/>
            <w:tcBorders>
              <w:top w:val="nil"/>
              <w:left w:val="nil"/>
              <w:bottom w:val="nil"/>
              <w:right w:val="nil"/>
            </w:tcBorders>
            <w:shd w:val="clear" w:color="auto" w:fill="auto"/>
            <w:vAlign w:val="bottom"/>
            <w:hideMark/>
          </w:tcPr>
          <w:p w14:paraId="7D207BB4" w14:textId="77777777" w:rsidR="00325DD1" w:rsidRPr="00325DD1" w:rsidRDefault="00325DD1" w:rsidP="00325DD1">
            <w:pPr>
              <w:spacing w:after="0" w:line="240" w:lineRule="auto"/>
              <w:rPr>
                <w:rFonts w:cs="Arial"/>
                <w:sz w:val="20"/>
              </w:rPr>
            </w:pPr>
            <w:r w:rsidRPr="00325DD1">
              <w:rPr>
                <w:rFonts w:cs="Arial"/>
                <w:sz w:val="20"/>
              </w:rPr>
              <w:t>O&amp;M Positions</w:t>
            </w:r>
          </w:p>
        </w:tc>
        <w:tc>
          <w:tcPr>
            <w:tcW w:w="0" w:type="auto"/>
            <w:tcBorders>
              <w:top w:val="nil"/>
              <w:left w:val="nil"/>
              <w:bottom w:val="nil"/>
              <w:right w:val="nil"/>
            </w:tcBorders>
            <w:shd w:val="clear" w:color="auto" w:fill="auto"/>
            <w:noWrap/>
            <w:vAlign w:val="bottom"/>
            <w:hideMark/>
          </w:tcPr>
          <w:p w14:paraId="6236B328" w14:textId="77777777" w:rsidR="00325DD1" w:rsidRPr="00325DD1" w:rsidRDefault="00325DD1" w:rsidP="00325DD1">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6783EEA7" w14:textId="77777777" w:rsidR="00325DD1" w:rsidRPr="00325DD1" w:rsidRDefault="00325DD1" w:rsidP="00325DD1">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B6776CD" w14:textId="105B9510" w:rsidR="00325DD1" w:rsidRPr="00325DD1" w:rsidRDefault="00325DD1" w:rsidP="00325DD1">
            <w:pPr>
              <w:spacing w:after="0" w:line="240" w:lineRule="auto"/>
              <w:jc w:val="right"/>
              <w:rPr>
                <w:rFonts w:cs="Arial"/>
                <w:sz w:val="20"/>
              </w:rPr>
            </w:pPr>
            <w:r w:rsidRPr="00325DD1">
              <w:rPr>
                <w:rFonts w:cs="Arial"/>
                <w:sz w:val="20"/>
              </w:rPr>
              <w:t>3</w:t>
            </w:r>
          </w:p>
        </w:tc>
        <w:tc>
          <w:tcPr>
            <w:tcW w:w="0" w:type="auto"/>
            <w:tcBorders>
              <w:top w:val="nil"/>
              <w:left w:val="nil"/>
              <w:bottom w:val="nil"/>
              <w:right w:val="nil"/>
            </w:tcBorders>
            <w:shd w:val="clear" w:color="auto" w:fill="auto"/>
            <w:noWrap/>
            <w:vAlign w:val="bottom"/>
            <w:hideMark/>
          </w:tcPr>
          <w:p w14:paraId="5B457328" w14:textId="3938A420" w:rsidR="00325DD1" w:rsidRPr="00325DD1" w:rsidRDefault="00325DD1" w:rsidP="00325DD1">
            <w:pPr>
              <w:spacing w:after="0" w:line="240" w:lineRule="auto"/>
              <w:jc w:val="right"/>
              <w:rPr>
                <w:rFonts w:cs="Arial"/>
                <w:sz w:val="20"/>
              </w:rPr>
            </w:pPr>
            <w:r w:rsidRPr="00325DD1">
              <w:rPr>
                <w:rFonts w:cs="Arial"/>
                <w:sz w:val="20"/>
              </w:rPr>
              <w:t>1</w:t>
            </w:r>
          </w:p>
        </w:tc>
        <w:tc>
          <w:tcPr>
            <w:tcW w:w="0" w:type="auto"/>
            <w:tcBorders>
              <w:top w:val="nil"/>
              <w:left w:val="nil"/>
              <w:bottom w:val="nil"/>
              <w:right w:val="nil"/>
            </w:tcBorders>
            <w:shd w:val="clear" w:color="auto" w:fill="auto"/>
            <w:noWrap/>
            <w:vAlign w:val="bottom"/>
            <w:hideMark/>
          </w:tcPr>
          <w:p w14:paraId="125FB9D3" w14:textId="2E56052B" w:rsidR="00325DD1" w:rsidRPr="00325DD1" w:rsidRDefault="00325DD1" w:rsidP="00325DD1">
            <w:pPr>
              <w:spacing w:after="0" w:line="240" w:lineRule="auto"/>
              <w:jc w:val="right"/>
              <w:rPr>
                <w:rFonts w:cs="Arial"/>
                <w:sz w:val="20"/>
              </w:rPr>
            </w:pPr>
            <w:r w:rsidRPr="00325DD1">
              <w:rPr>
                <w:rFonts w:cs="Arial"/>
                <w:sz w:val="20"/>
              </w:rPr>
              <w:t>2</w:t>
            </w:r>
          </w:p>
        </w:tc>
        <w:tc>
          <w:tcPr>
            <w:tcW w:w="0" w:type="auto"/>
            <w:tcBorders>
              <w:top w:val="nil"/>
              <w:left w:val="nil"/>
              <w:bottom w:val="nil"/>
              <w:right w:val="nil"/>
            </w:tcBorders>
            <w:shd w:val="clear" w:color="auto" w:fill="auto"/>
            <w:noWrap/>
            <w:vAlign w:val="bottom"/>
            <w:hideMark/>
          </w:tcPr>
          <w:p w14:paraId="7D688387" w14:textId="509B19BB" w:rsidR="00325DD1" w:rsidRPr="00325DD1" w:rsidRDefault="00325DD1" w:rsidP="00325DD1">
            <w:pPr>
              <w:spacing w:after="0" w:line="240" w:lineRule="auto"/>
              <w:jc w:val="right"/>
              <w:rPr>
                <w:rFonts w:cs="Arial"/>
                <w:sz w:val="20"/>
              </w:rPr>
            </w:pPr>
            <w:r w:rsidRPr="00325DD1">
              <w:rPr>
                <w:rFonts w:cs="Arial"/>
                <w:sz w:val="20"/>
              </w:rPr>
              <w:t>7</w:t>
            </w:r>
          </w:p>
        </w:tc>
        <w:tc>
          <w:tcPr>
            <w:tcW w:w="0" w:type="auto"/>
            <w:tcBorders>
              <w:top w:val="nil"/>
              <w:left w:val="nil"/>
              <w:bottom w:val="nil"/>
              <w:right w:val="nil"/>
            </w:tcBorders>
            <w:shd w:val="clear" w:color="auto" w:fill="auto"/>
            <w:noWrap/>
            <w:vAlign w:val="bottom"/>
            <w:hideMark/>
          </w:tcPr>
          <w:p w14:paraId="2D8AD4DF" w14:textId="6FE17D46" w:rsidR="00325DD1" w:rsidRPr="00325DD1" w:rsidRDefault="00325DD1" w:rsidP="00325DD1">
            <w:pPr>
              <w:spacing w:after="0" w:line="240" w:lineRule="auto"/>
              <w:jc w:val="right"/>
              <w:rPr>
                <w:rFonts w:cs="Arial"/>
                <w:sz w:val="20"/>
              </w:rPr>
            </w:pPr>
            <w:r w:rsidRPr="00325DD1">
              <w:rPr>
                <w:rFonts w:cs="Arial"/>
                <w:sz w:val="20"/>
              </w:rPr>
              <w:t>12</w:t>
            </w:r>
          </w:p>
        </w:tc>
        <w:tc>
          <w:tcPr>
            <w:tcW w:w="0" w:type="auto"/>
            <w:tcBorders>
              <w:top w:val="nil"/>
              <w:left w:val="nil"/>
              <w:bottom w:val="nil"/>
              <w:right w:val="nil"/>
            </w:tcBorders>
            <w:shd w:val="clear" w:color="auto" w:fill="auto"/>
            <w:noWrap/>
            <w:vAlign w:val="bottom"/>
            <w:hideMark/>
          </w:tcPr>
          <w:p w14:paraId="4215282F" w14:textId="77777777" w:rsidR="00325DD1" w:rsidRPr="00325DD1" w:rsidRDefault="00325DD1" w:rsidP="00325DD1">
            <w:pPr>
              <w:spacing w:after="0" w:line="240" w:lineRule="auto"/>
              <w:jc w:val="right"/>
              <w:rPr>
                <w:rFonts w:cs="Arial"/>
                <w:sz w:val="20"/>
              </w:rPr>
            </w:pPr>
            <w:r w:rsidRPr="00325DD1">
              <w:rPr>
                <w:rFonts w:cs="Arial"/>
                <w:sz w:val="20"/>
              </w:rPr>
              <w:t>10</w:t>
            </w:r>
          </w:p>
        </w:tc>
        <w:tc>
          <w:tcPr>
            <w:tcW w:w="0" w:type="auto"/>
            <w:tcBorders>
              <w:top w:val="nil"/>
              <w:left w:val="nil"/>
              <w:bottom w:val="nil"/>
              <w:right w:val="nil"/>
            </w:tcBorders>
            <w:shd w:val="clear" w:color="auto" w:fill="auto"/>
            <w:noWrap/>
            <w:vAlign w:val="bottom"/>
            <w:hideMark/>
          </w:tcPr>
          <w:p w14:paraId="40B35D41" w14:textId="77777777" w:rsidR="00325DD1" w:rsidRPr="00325DD1" w:rsidRDefault="00325DD1" w:rsidP="00325DD1">
            <w:pPr>
              <w:spacing w:after="0" w:line="240" w:lineRule="auto"/>
              <w:jc w:val="right"/>
              <w:rPr>
                <w:rFonts w:cs="Arial"/>
                <w:sz w:val="20"/>
              </w:rPr>
            </w:pPr>
            <w:r w:rsidRPr="00325DD1">
              <w:rPr>
                <w:rFonts w:cs="Arial"/>
                <w:sz w:val="20"/>
              </w:rPr>
              <w:t>2</w:t>
            </w:r>
          </w:p>
        </w:tc>
        <w:tc>
          <w:tcPr>
            <w:tcW w:w="0" w:type="auto"/>
            <w:tcBorders>
              <w:top w:val="nil"/>
              <w:left w:val="nil"/>
              <w:bottom w:val="nil"/>
              <w:right w:val="nil"/>
            </w:tcBorders>
            <w:shd w:val="clear" w:color="auto" w:fill="auto"/>
            <w:noWrap/>
            <w:vAlign w:val="bottom"/>
            <w:hideMark/>
          </w:tcPr>
          <w:p w14:paraId="3C0D59B6" w14:textId="77777777" w:rsidR="00325DD1" w:rsidRPr="00325DD1" w:rsidRDefault="00325DD1" w:rsidP="00325DD1">
            <w:pPr>
              <w:spacing w:after="0" w:line="240" w:lineRule="auto"/>
              <w:jc w:val="right"/>
              <w:rPr>
                <w:rFonts w:cs="Arial"/>
                <w:sz w:val="20"/>
              </w:rPr>
            </w:pPr>
            <w:r w:rsidRPr="00325DD1">
              <w:rPr>
                <w:rFonts w:cs="Arial"/>
                <w:sz w:val="20"/>
              </w:rPr>
              <w:t>5</w:t>
            </w:r>
          </w:p>
        </w:tc>
        <w:tc>
          <w:tcPr>
            <w:tcW w:w="0" w:type="auto"/>
            <w:tcBorders>
              <w:top w:val="nil"/>
              <w:left w:val="nil"/>
              <w:bottom w:val="nil"/>
              <w:right w:val="nil"/>
            </w:tcBorders>
            <w:shd w:val="clear" w:color="auto" w:fill="auto"/>
            <w:noWrap/>
            <w:vAlign w:val="bottom"/>
            <w:hideMark/>
          </w:tcPr>
          <w:p w14:paraId="67375F73" w14:textId="77777777" w:rsidR="00325DD1" w:rsidRPr="00325DD1" w:rsidRDefault="00325DD1" w:rsidP="00325DD1">
            <w:pPr>
              <w:spacing w:after="0" w:line="240" w:lineRule="auto"/>
              <w:jc w:val="right"/>
              <w:rPr>
                <w:rFonts w:cs="Arial"/>
                <w:sz w:val="20"/>
              </w:rPr>
            </w:pPr>
            <w:r w:rsidRPr="00325DD1">
              <w:rPr>
                <w:rFonts w:cs="Arial"/>
                <w:sz w:val="20"/>
              </w:rPr>
              <w:t>1</w:t>
            </w:r>
          </w:p>
        </w:tc>
        <w:tc>
          <w:tcPr>
            <w:tcW w:w="0" w:type="auto"/>
            <w:tcBorders>
              <w:top w:val="nil"/>
              <w:left w:val="nil"/>
              <w:bottom w:val="nil"/>
              <w:right w:val="nil"/>
            </w:tcBorders>
            <w:shd w:val="clear" w:color="auto" w:fill="auto"/>
            <w:noWrap/>
            <w:vAlign w:val="bottom"/>
            <w:hideMark/>
          </w:tcPr>
          <w:p w14:paraId="5255B1CB" w14:textId="77777777" w:rsidR="00325DD1" w:rsidRPr="00325DD1" w:rsidRDefault="00325DD1" w:rsidP="00325DD1">
            <w:pPr>
              <w:spacing w:after="0" w:line="240" w:lineRule="auto"/>
              <w:jc w:val="right"/>
              <w:rPr>
                <w:rFonts w:cs="Arial"/>
                <w:sz w:val="20"/>
              </w:rPr>
            </w:pPr>
            <w:r w:rsidRPr="00325DD1">
              <w:rPr>
                <w:rFonts w:cs="Arial"/>
                <w:sz w:val="20"/>
              </w:rPr>
              <w:t>7</w:t>
            </w:r>
          </w:p>
        </w:tc>
        <w:tc>
          <w:tcPr>
            <w:tcW w:w="0" w:type="auto"/>
            <w:tcBorders>
              <w:top w:val="nil"/>
              <w:left w:val="nil"/>
              <w:bottom w:val="nil"/>
              <w:right w:val="nil"/>
            </w:tcBorders>
            <w:shd w:val="clear" w:color="auto" w:fill="auto"/>
            <w:noWrap/>
            <w:vAlign w:val="bottom"/>
            <w:hideMark/>
          </w:tcPr>
          <w:p w14:paraId="3C928B9E" w14:textId="77777777" w:rsidR="00325DD1" w:rsidRPr="00325DD1" w:rsidRDefault="00325DD1" w:rsidP="00325DD1">
            <w:pPr>
              <w:spacing w:after="0" w:line="240" w:lineRule="auto"/>
              <w:jc w:val="right"/>
              <w:rPr>
                <w:rFonts w:cs="Arial"/>
                <w:sz w:val="20"/>
              </w:rPr>
            </w:pPr>
            <w:r w:rsidRPr="00325DD1">
              <w:rPr>
                <w:rFonts w:cs="Arial"/>
                <w:sz w:val="20"/>
              </w:rPr>
              <w:t>12</w:t>
            </w:r>
          </w:p>
        </w:tc>
      </w:tr>
    </w:tbl>
    <w:p w14:paraId="02497FB2" w14:textId="4BF9AAA3" w:rsidR="00BA43CE" w:rsidRPr="00C64973" w:rsidRDefault="00BA43CE" w:rsidP="00BA43CE">
      <w:pPr>
        <w:pStyle w:val="Heading2"/>
      </w:pPr>
      <w:bookmarkStart w:id="109" w:name="_Toc284342502"/>
      <w:bookmarkStart w:id="110" w:name="_Toc347126950"/>
      <w:bookmarkStart w:id="111" w:name="_Toc347127182"/>
      <w:bookmarkStart w:id="112" w:name="_Toc408835460"/>
      <w:bookmarkStart w:id="113" w:name="_Toc61607312"/>
      <w:r w:rsidRPr="00C64973">
        <w:t>Recommendations by knowledgeable professionals</w:t>
      </w:r>
      <w:bookmarkEnd w:id="109"/>
      <w:bookmarkEnd w:id="110"/>
      <w:bookmarkEnd w:id="111"/>
      <w:bookmarkEnd w:id="112"/>
      <w:bookmarkEnd w:id="113"/>
    </w:p>
    <w:p w14:paraId="3619B6A0" w14:textId="7925F4D7" w:rsidR="00DF6C98" w:rsidRPr="00C64973" w:rsidRDefault="00583548" w:rsidP="001B63A9">
      <w:pPr>
        <w:spacing w:line="288" w:lineRule="auto"/>
        <w:rPr>
          <w:b/>
          <w:i/>
        </w:rPr>
      </w:pPr>
      <w:r w:rsidRPr="00C64973">
        <w:rPr>
          <w:b/>
          <w:i/>
        </w:rPr>
        <w:t xml:space="preserve">In 2019, </w:t>
      </w:r>
      <w:r w:rsidR="00407A47" w:rsidRPr="00C64973">
        <w:rPr>
          <w:b/>
          <w:i/>
        </w:rPr>
        <w:t>ESCs anticipate</w:t>
      </w:r>
      <w:r w:rsidRPr="00C64973">
        <w:rPr>
          <w:b/>
          <w:i/>
        </w:rPr>
        <w:t>d</w:t>
      </w:r>
      <w:r w:rsidR="00407A47" w:rsidRPr="00C64973">
        <w:rPr>
          <w:b/>
          <w:i/>
        </w:rPr>
        <w:t xml:space="preserve"> needing 42% more COMS </w:t>
      </w:r>
      <w:r w:rsidR="00BD24E5" w:rsidRPr="00C64973">
        <w:rPr>
          <w:b/>
          <w:i/>
        </w:rPr>
        <w:t xml:space="preserve">(81 individuals) </w:t>
      </w:r>
      <w:r w:rsidR="00407A47" w:rsidRPr="00C64973">
        <w:rPr>
          <w:b/>
          <w:i/>
        </w:rPr>
        <w:t>across the state</w:t>
      </w:r>
      <w:r w:rsidRPr="00C64973">
        <w:rPr>
          <w:b/>
          <w:i/>
        </w:rPr>
        <w:t xml:space="preserve"> over the next three years. </w:t>
      </w:r>
      <w:r w:rsidR="00BD24E5" w:rsidRPr="00C64973">
        <w:rPr>
          <w:b/>
          <w:i/>
        </w:rPr>
        <w:t>T</w:t>
      </w:r>
      <w:r w:rsidR="00CB0E14" w:rsidRPr="00C64973">
        <w:rPr>
          <w:b/>
          <w:i/>
        </w:rPr>
        <w:t xml:space="preserve">he </w:t>
      </w:r>
      <w:r w:rsidR="00FB51F8" w:rsidRPr="00C64973">
        <w:rPr>
          <w:b/>
          <w:i/>
        </w:rPr>
        <w:t xml:space="preserve">projected </w:t>
      </w:r>
      <w:r w:rsidR="00BD24E5" w:rsidRPr="00C64973">
        <w:rPr>
          <w:b/>
          <w:i/>
        </w:rPr>
        <w:t>need</w:t>
      </w:r>
      <w:r w:rsidR="00817016" w:rsidRPr="00C64973">
        <w:rPr>
          <w:b/>
          <w:i/>
        </w:rPr>
        <w:t xml:space="preserve"> </w:t>
      </w:r>
      <w:r w:rsidR="00CB0E14" w:rsidRPr="00C64973">
        <w:rPr>
          <w:b/>
          <w:i/>
        </w:rPr>
        <w:t xml:space="preserve">for additional COMS </w:t>
      </w:r>
      <w:r w:rsidR="00BD24E5" w:rsidRPr="00C64973">
        <w:rPr>
          <w:b/>
          <w:i/>
        </w:rPr>
        <w:t>continues to grow</w:t>
      </w:r>
      <w:r w:rsidR="0047265F">
        <w:rPr>
          <w:b/>
          <w:i/>
        </w:rPr>
        <w:t xml:space="preserve"> </w:t>
      </w:r>
      <w:r w:rsidR="00BD24E5" w:rsidRPr="00C64973">
        <w:rPr>
          <w:b/>
          <w:i/>
        </w:rPr>
        <w:t>with ESC</w:t>
      </w:r>
      <w:r w:rsidR="00FB51F8" w:rsidRPr="00C64973">
        <w:rPr>
          <w:b/>
          <w:i/>
        </w:rPr>
        <w:t>s estimating</w:t>
      </w:r>
      <w:r w:rsidR="00BD24E5" w:rsidRPr="00C64973">
        <w:rPr>
          <w:b/>
          <w:i/>
        </w:rPr>
        <w:t xml:space="preserve"> a long-term</w:t>
      </w:r>
      <w:r w:rsidR="00817016" w:rsidRPr="00C64973">
        <w:rPr>
          <w:b/>
          <w:i/>
        </w:rPr>
        <w:t xml:space="preserve"> need of</w:t>
      </w:r>
      <w:r w:rsidR="00BD24E5" w:rsidRPr="00C64973">
        <w:rPr>
          <w:b/>
          <w:i/>
        </w:rPr>
        <w:t xml:space="preserve"> 87 additional </w:t>
      </w:r>
      <w:r w:rsidR="00817016" w:rsidRPr="00C64973">
        <w:rPr>
          <w:b/>
          <w:i/>
        </w:rPr>
        <w:t>COMS</w:t>
      </w:r>
      <w:r w:rsidR="00CB0E14" w:rsidRPr="00C64973">
        <w:rPr>
          <w:b/>
          <w:i/>
        </w:rPr>
        <w:t xml:space="preserve"> by 2023</w:t>
      </w:r>
      <w:r w:rsidR="00817016" w:rsidRPr="00C64973">
        <w:rPr>
          <w:b/>
          <w:i/>
        </w:rPr>
        <w:t>.</w:t>
      </w:r>
      <w:r w:rsidR="00BD24E5" w:rsidRPr="00C64973">
        <w:rPr>
          <w:b/>
          <w:i/>
        </w:rPr>
        <w:t xml:space="preserve"> </w:t>
      </w:r>
    </w:p>
    <w:p w14:paraId="06FFEC32" w14:textId="6BEF67C4" w:rsidR="00734924" w:rsidRPr="00C64973" w:rsidRDefault="00BA43CE" w:rsidP="00BA43CE">
      <w:pPr>
        <w:spacing w:line="288" w:lineRule="auto"/>
      </w:pPr>
      <w:r w:rsidRPr="00C64973">
        <w:t xml:space="preserve">Regional VI consultants are the experts in visual impairments for their region. VI consultants and TSBVI staff were asked how many </w:t>
      </w:r>
      <w:r w:rsidR="00723F4D" w:rsidRPr="00C64973">
        <w:t>TVI</w:t>
      </w:r>
      <w:r w:rsidRPr="00C64973">
        <w:t>s, O&amp;M specialists, and dually certified personnel were needed in their area</w:t>
      </w:r>
      <w:r w:rsidR="00407A47" w:rsidRPr="00C64973">
        <w:t xml:space="preserve"> based on projected student growth and how many staff are expected to leave the field</w:t>
      </w:r>
      <w:r w:rsidRPr="00C64973">
        <w:t xml:space="preserve">. The survey asked about projected need, not about positions available. However, historically, positions follow the availability of VI professionals. </w:t>
      </w:r>
    </w:p>
    <w:p w14:paraId="29E7E684" w14:textId="344418C5" w:rsidR="008E57A9" w:rsidRPr="00C64973" w:rsidRDefault="008E57A9" w:rsidP="00BA43CE">
      <w:pPr>
        <w:spacing w:line="288" w:lineRule="auto"/>
      </w:pPr>
      <w:r w:rsidRPr="00C64973">
        <w:t>There are two ways to assess the shorter- and longer-term projected needs: either by job assignment or by professional expertise. The terms “</w:t>
      </w:r>
      <w:r w:rsidR="00723F4D" w:rsidRPr="00C64973">
        <w:t>TVI</w:t>
      </w:r>
      <w:r w:rsidRPr="00C64973">
        <w:t xml:space="preserve">” or “COMS” indicate a type of expertise as expressed through the certification in a professional discipline. Those in the “dually certified” category hold both certifications and function in both professional disciplines. </w:t>
      </w:r>
    </w:p>
    <w:p w14:paraId="514D65DB" w14:textId="591B60DB" w:rsidR="00583548" w:rsidRPr="00C64973" w:rsidRDefault="002023F1" w:rsidP="00583548">
      <w:pPr>
        <w:spacing w:line="288" w:lineRule="auto"/>
      </w:pPr>
      <w:r w:rsidRPr="00C64973">
        <w:t xml:space="preserve">Functioning as a dually certified VI professional primarily reflects district need and therefore is a job assignment and not a unique discipline. Dually certified assignments are also very fluid and vary from year to year. For the purposes of this section of the report, the data reported will be by professional </w:t>
      </w:r>
      <w:r w:rsidRPr="00C64973">
        <w:rPr>
          <w:u w:val="single"/>
        </w:rPr>
        <w:t>expertise</w:t>
      </w:r>
      <w:r w:rsidRPr="00C64973">
        <w:t>, not by job assignment. Understandin</w:t>
      </w:r>
      <w:r w:rsidR="00D54205" w:rsidRPr="00C64973">
        <w:t xml:space="preserve">g need by expertise informs </w:t>
      </w:r>
      <w:r w:rsidRPr="00C64973">
        <w:t xml:space="preserve">future training and funding needs. Dually certified VI professionals function as part-time </w:t>
      </w:r>
      <w:r w:rsidR="00723F4D" w:rsidRPr="00C64973">
        <w:t>TVI</w:t>
      </w:r>
      <w:r w:rsidRPr="00C64973">
        <w:t xml:space="preserve">s and part-time </w:t>
      </w:r>
      <w:r w:rsidR="00D574E5">
        <w:t>COMS</w:t>
      </w:r>
      <w:r w:rsidRPr="00C64973">
        <w:t xml:space="preserve">. As such they will be added to both areas as part-time </w:t>
      </w:r>
      <w:r w:rsidR="00723F4D" w:rsidRPr="00C64973">
        <w:t>TVI</w:t>
      </w:r>
      <w:r w:rsidRPr="00C64973">
        <w:t>s and O&amp;M specialists.</w:t>
      </w:r>
    </w:p>
    <w:p w14:paraId="0DA75791" w14:textId="38BDA6F6" w:rsidR="00293C34" w:rsidRDefault="00607B8D" w:rsidP="00607B8D">
      <w:pPr>
        <w:pStyle w:val="Caption"/>
        <w:keepNext/>
      </w:pPr>
      <w:r>
        <w:t>Graph 7: Projected Shorter and Longer-Term Need for VI Professionals</w:t>
      </w:r>
    </w:p>
    <w:p w14:paraId="67C0DA9A" w14:textId="06750A80" w:rsidR="00607B8D" w:rsidRPr="00607B8D" w:rsidRDefault="00607B8D" w:rsidP="00607B8D">
      <w:pPr>
        <w:rPr>
          <w:sz w:val="20"/>
        </w:rPr>
      </w:pPr>
      <w:r w:rsidRPr="00607B8D">
        <w:rPr>
          <w:sz w:val="20"/>
        </w:rPr>
        <w:t>The short and long-term need for VI professionals has steadily grown from 2010 and reached its peak in 2014 before falling in 2015. In 2019 need increased significantly with short term need at 133 and long term need at 216. Totals for 2020 fell a bit to 128 for short-term and 211 for long-term need.</w:t>
      </w:r>
    </w:p>
    <w:tbl>
      <w:tblPr>
        <w:tblW w:w="0" w:type="auto"/>
        <w:tblLook w:val="04A0" w:firstRow="1" w:lastRow="0" w:firstColumn="1" w:lastColumn="0" w:noHBand="0" w:noVBand="1"/>
      </w:tblPr>
      <w:tblGrid>
        <w:gridCol w:w="1840"/>
        <w:gridCol w:w="272"/>
        <w:gridCol w:w="222"/>
        <w:gridCol w:w="661"/>
        <w:gridCol w:w="661"/>
        <w:gridCol w:w="661"/>
        <w:gridCol w:w="661"/>
        <w:gridCol w:w="661"/>
        <w:gridCol w:w="661"/>
        <w:gridCol w:w="661"/>
        <w:gridCol w:w="661"/>
        <w:gridCol w:w="661"/>
        <w:gridCol w:w="661"/>
        <w:gridCol w:w="661"/>
      </w:tblGrid>
      <w:tr w:rsidR="00607B8D" w:rsidRPr="00607B8D" w14:paraId="05ECFA01" w14:textId="77777777" w:rsidTr="00607B8D">
        <w:trPr>
          <w:trHeight w:val="255"/>
        </w:trPr>
        <w:tc>
          <w:tcPr>
            <w:tcW w:w="0" w:type="auto"/>
            <w:tcBorders>
              <w:top w:val="nil"/>
              <w:left w:val="nil"/>
              <w:bottom w:val="nil"/>
              <w:right w:val="nil"/>
            </w:tcBorders>
            <w:shd w:val="clear" w:color="FFFF00" w:fill="FFFF00"/>
            <w:vAlign w:val="bottom"/>
            <w:hideMark/>
          </w:tcPr>
          <w:p w14:paraId="422798C5" w14:textId="3BF6BF87" w:rsidR="00607B8D" w:rsidRPr="00607B8D" w:rsidRDefault="00607B8D" w:rsidP="00607B8D">
            <w:pPr>
              <w:spacing w:after="0" w:line="240" w:lineRule="auto"/>
              <w:rPr>
                <w:rFonts w:cs="Arial"/>
                <w:sz w:val="20"/>
              </w:rPr>
            </w:pPr>
          </w:p>
        </w:tc>
        <w:tc>
          <w:tcPr>
            <w:tcW w:w="0" w:type="auto"/>
            <w:tcBorders>
              <w:top w:val="nil"/>
              <w:left w:val="nil"/>
              <w:bottom w:val="nil"/>
              <w:right w:val="nil"/>
            </w:tcBorders>
            <w:shd w:val="clear" w:color="000000" w:fill="FFFF99"/>
            <w:vAlign w:val="bottom"/>
            <w:hideMark/>
          </w:tcPr>
          <w:p w14:paraId="041C9337" w14:textId="77777777" w:rsidR="00607B8D" w:rsidRPr="00607B8D" w:rsidRDefault="00607B8D" w:rsidP="00607B8D">
            <w:pPr>
              <w:spacing w:after="0" w:line="240" w:lineRule="auto"/>
              <w:rPr>
                <w:rFonts w:cs="Arial"/>
                <w:b/>
                <w:bCs/>
                <w:sz w:val="20"/>
              </w:rPr>
            </w:pPr>
            <w:r w:rsidRPr="00607B8D">
              <w:rPr>
                <w:rFonts w:cs="Arial"/>
                <w:b/>
                <w:bCs/>
                <w:sz w:val="20"/>
              </w:rPr>
              <w:t> </w:t>
            </w:r>
          </w:p>
        </w:tc>
        <w:tc>
          <w:tcPr>
            <w:tcW w:w="0" w:type="auto"/>
            <w:tcBorders>
              <w:top w:val="nil"/>
              <w:left w:val="nil"/>
              <w:bottom w:val="nil"/>
              <w:right w:val="nil"/>
            </w:tcBorders>
            <w:shd w:val="clear" w:color="auto" w:fill="auto"/>
            <w:noWrap/>
            <w:vAlign w:val="bottom"/>
            <w:hideMark/>
          </w:tcPr>
          <w:p w14:paraId="574849B2" w14:textId="77777777" w:rsidR="00607B8D" w:rsidRPr="00607B8D" w:rsidRDefault="00607B8D" w:rsidP="00607B8D">
            <w:pPr>
              <w:spacing w:after="0" w:line="240" w:lineRule="auto"/>
              <w:rPr>
                <w:rFonts w:cs="Arial"/>
                <w:b/>
                <w:bCs/>
                <w:sz w:val="20"/>
              </w:rPr>
            </w:pPr>
          </w:p>
        </w:tc>
        <w:tc>
          <w:tcPr>
            <w:tcW w:w="0" w:type="auto"/>
            <w:tcBorders>
              <w:top w:val="nil"/>
              <w:left w:val="nil"/>
              <w:bottom w:val="nil"/>
              <w:right w:val="nil"/>
            </w:tcBorders>
            <w:shd w:val="clear" w:color="auto" w:fill="auto"/>
            <w:noWrap/>
            <w:vAlign w:val="bottom"/>
            <w:hideMark/>
          </w:tcPr>
          <w:p w14:paraId="0B400BA8"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2010</w:t>
            </w:r>
          </w:p>
        </w:tc>
        <w:tc>
          <w:tcPr>
            <w:tcW w:w="0" w:type="auto"/>
            <w:tcBorders>
              <w:top w:val="nil"/>
              <w:left w:val="nil"/>
              <w:bottom w:val="nil"/>
              <w:right w:val="nil"/>
            </w:tcBorders>
            <w:shd w:val="clear" w:color="auto" w:fill="auto"/>
            <w:noWrap/>
            <w:vAlign w:val="bottom"/>
            <w:hideMark/>
          </w:tcPr>
          <w:p w14:paraId="330BE547"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2011</w:t>
            </w:r>
          </w:p>
        </w:tc>
        <w:tc>
          <w:tcPr>
            <w:tcW w:w="0" w:type="auto"/>
            <w:tcBorders>
              <w:top w:val="nil"/>
              <w:left w:val="nil"/>
              <w:bottom w:val="nil"/>
              <w:right w:val="nil"/>
            </w:tcBorders>
            <w:shd w:val="clear" w:color="auto" w:fill="auto"/>
            <w:noWrap/>
            <w:vAlign w:val="bottom"/>
            <w:hideMark/>
          </w:tcPr>
          <w:p w14:paraId="6A67A5F0"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2012</w:t>
            </w:r>
          </w:p>
        </w:tc>
        <w:tc>
          <w:tcPr>
            <w:tcW w:w="0" w:type="auto"/>
            <w:tcBorders>
              <w:top w:val="nil"/>
              <w:left w:val="nil"/>
              <w:bottom w:val="nil"/>
              <w:right w:val="nil"/>
            </w:tcBorders>
            <w:shd w:val="clear" w:color="auto" w:fill="auto"/>
            <w:noWrap/>
            <w:vAlign w:val="bottom"/>
            <w:hideMark/>
          </w:tcPr>
          <w:p w14:paraId="2555DD87"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2013</w:t>
            </w:r>
          </w:p>
        </w:tc>
        <w:tc>
          <w:tcPr>
            <w:tcW w:w="0" w:type="auto"/>
            <w:tcBorders>
              <w:top w:val="nil"/>
              <w:left w:val="nil"/>
              <w:bottom w:val="nil"/>
              <w:right w:val="nil"/>
            </w:tcBorders>
            <w:shd w:val="clear" w:color="auto" w:fill="auto"/>
            <w:noWrap/>
            <w:vAlign w:val="bottom"/>
            <w:hideMark/>
          </w:tcPr>
          <w:p w14:paraId="6A2048C0"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2014</w:t>
            </w:r>
          </w:p>
        </w:tc>
        <w:tc>
          <w:tcPr>
            <w:tcW w:w="0" w:type="auto"/>
            <w:tcBorders>
              <w:top w:val="nil"/>
              <w:left w:val="nil"/>
              <w:bottom w:val="nil"/>
              <w:right w:val="nil"/>
            </w:tcBorders>
            <w:shd w:val="clear" w:color="auto" w:fill="auto"/>
            <w:noWrap/>
            <w:vAlign w:val="bottom"/>
            <w:hideMark/>
          </w:tcPr>
          <w:p w14:paraId="7393DD3E"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2015</w:t>
            </w:r>
          </w:p>
        </w:tc>
        <w:tc>
          <w:tcPr>
            <w:tcW w:w="0" w:type="auto"/>
            <w:tcBorders>
              <w:top w:val="nil"/>
              <w:left w:val="nil"/>
              <w:bottom w:val="nil"/>
              <w:right w:val="nil"/>
            </w:tcBorders>
            <w:shd w:val="clear" w:color="auto" w:fill="auto"/>
            <w:noWrap/>
            <w:vAlign w:val="bottom"/>
            <w:hideMark/>
          </w:tcPr>
          <w:p w14:paraId="0A9B7828"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2016</w:t>
            </w:r>
          </w:p>
        </w:tc>
        <w:tc>
          <w:tcPr>
            <w:tcW w:w="0" w:type="auto"/>
            <w:tcBorders>
              <w:top w:val="nil"/>
              <w:left w:val="nil"/>
              <w:bottom w:val="nil"/>
              <w:right w:val="nil"/>
            </w:tcBorders>
            <w:shd w:val="clear" w:color="auto" w:fill="auto"/>
            <w:noWrap/>
            <w:vAlign w:val="bottom"/>
            <w:hideMark/>
          </w:tcPr>
          <w:p w14:paraId="095D47EA" w14:textId="123677E2" w:rsidR="00607B8D" w:rsidRPr="00607B8D" w:rsidRDefault="00607B8D" w:rsidP="00607B8D">
            <w:pPr>
              <w:spacing w:after="0" w:line="240" w:lineRule="auto"/>
              <w:jc w:val="right"/>
              <w:rPr>
                <w:rFonts w:cs="Arial"/>
                <w:color w:val="000000"/>
                <w:sz w:val="20"/>
              </w:rPr>
            </w:pPr>
            <w:r w:rsidRPr="00607B8D">
              <w:rPr>
                <w:rFonts w:cs="Arial"/>
                <w:color w:val="000000"/>
                <w:sz w:val="20"/>
              </w:rPr>
              <w:t>2017</w:t>
            </w:r>
          </w:p>
        </w:tc>
        <w:tc>
          <w:tcPr>
            <w:tcW w:w="0" w:type="auto"/>
            <w:tcBorders>
              <w:top w:val="nil"/>
              <w:left w:val="nil"/>
              <w:bottom w:val="nil"/>
              <w:right w:val="nil"/>
            </w:tcBorders>
            <w:shd w:val="clear" w:color="auto" w:fill="auto"/>
            <w:noWrap/>
            <w:vAlign w:val="bottom"/>
            <w:hideMark/>
          </w:tcPr>
          <w:p w14:paraId="5A9C8405"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2018</w:t>
            </w:r>
          </w:p>
        </w:tc>
        <w:tc>
          <w:tcPr>
            <w:tcW w:w="0" w:type="auto"/>
            <w:tcBorders>
              <w:top w:val="nil"/>
              <w:left w:val="nil"/>
              <w:bottom w:val="nil"/>
              <w:right w:val="nil"/>
            </w:tcBorders>
            <w:shd w:val="clear" w:color="auto" w:fill="auto"/>
            <w:noWrap/>
            <w:vAlign w:val="bottom"/>
            <w:hideMark/>
          </w:tcPr>
          <w:p w14:paraId="41818D81"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2019</w:t>
            </w:r>
          </w:p>
        </w:tc>
        <w:tc>
          <w:tcPr>
            <w:tcW w:w="0" w:type="auto"/>
            <w:tcBorders>
              <w:top w:val="nil"/>
              <w:left w:val="nil"/>
              <w:bottom w:val="nil"/>
              <w:right w:val="nil"/>
            </w:tcBorders>
            <w:shd w:val="clear" w:color="auto" w:fill="auto"/>
            <w:noWrap/>
            <w:vAlign w:val="bottom"/>
            <w:hideMark/>
          </w:tcPr>
          <w:p w14:paraId="221E77F7"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2020</w:t>
            </w:r>
          </w:p>
        </w:tc>
      </w:tr>
      <w:tr w:rsidR="00607B8D" w:rsidRPr="00607B8D" w14:paraId="7793B69F" w14:textId="77777777" w:rsidTr="00607B8D">
        <w:trPr>
          <w:trHeight w:val="255"/>
        </w:trPr>
        <w:tc>
          <w:tcPr>
            <w:tcW w:w="0" w:type="auto"/>
            <w:tcBorders>
              <w:top w:val="nil"/>
              <w:left w:val="nil"/>
              <w:bottom w:val="nil"/>
              <w:right w:val="nil"/>
            </w:tcBorders>
            <w:shd w:val="clear" w:color="auto" w:fill="auto"/>
            <w:noWrap/>
            <w:vAlign w:val="bottom"/>
            <w:hideMark/>
          </w:tcPr>
          <w:p w14:paraId="6F3F9F79" w14:textId="77777777" w:rsidR="00607B8D" w:rsidRPr="00607B8D" w:rsidRDefault="00607B8D" w:rsidP="00607B8D">
            <w:pPr>
              <w:spacing w:after="0" w:line="240" w:lineRule="auto"/>
              <w:rPr>
                <w:rFonts w:cs="Arial"/>
                <w:sz w:val="20"/>
              </w:rPr>
            </w:pPr>
            <w:r w:rsidRPr="00607B8D">
              <w:rPr>
                <w:rFonts w:cs="Arial"/>
                <w:sz w:val="20"/>
              </w:rPr>
              <w:t>12-24 month need</w:t>
            </w:r>
          </w:p>
        </w:tc>
        <w:tc>
          <w:tcPr>
            <w:tcW w:w="0" w:type="auto"/>
            <w:tcBorders>
              <w:top w:val="nil"/>
              <w:left w:val="nil"/>
              <w:bottom w:val="nil"/>
              <w:right w:val="nil"/>
            </w:tcBorders>
            <w:shd w:val="clear" w:color="auto" w:fill="auto"/>
            <w:vAlign w:val="bottom"/>
            <w:hideMark/>
          </w:tcPr>
          <w:p w14:paraId="76D5DE1D" w14:textId="77777777" w:rsidR="00607B8D" w:rsidRPr="00607B8D" w:rsidRDefault="00607B8D" w:rsidP="00607B8D">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5B6F3CD" w14:textId="77777777" w:rsidR="00607B8D" w:rsidRPr="00607B8D" w:rsidRDefault="00607B8D" w:rsidP="00607B8D">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56B3BD4A"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113</w:t>
            </w:r>
          </w:p>
        </w:tc>
        <w:tc>
          <w:tcPr>
            <w:tcW w:w="0" w:type="auto"/>
            <w:tcBorders>
              <w:top w:val="nil"/>
              <w:left w:val="nil"/>
              <w:bottom w:val="nil"/>
              <w:right w:val="nil"/>
            </w:tcBorders>
            <w:shd w:val="clear" w:color="auto" w:fill="auto"/>
            <w:noWrap/>
            <w:vAlign w:val="bottom"/>
            <w:hideMark/>
          </w:tcPr>
          <w:p w14:paraId="4871941A" w14:textId="6A124DD7" w:rsidR="00607B8D" w:rsidRPr="00607B8D" w:rsidRDefault="00607B8D" w:rsidP="00607B8D">
            <w:pPr>
              <w:spacing w:after="0" w:line="240" w:lineRule="auto"/>
              <w:jc w:val="right"/>
              <w:rPr>
                <w:rFonts w:cs="Arial"/>
                <w:color w:val="000000"/>
                <w:sz w:val="20"/>
              </w:rPr>
            </w:pPr>
            <w:r w:rsidRPr="00607B8D">
              <w:rPr>
                <w:rFonts w:cs="Arial"/>
                <w:color w:val="000000"/>
                <w:sz w:val="20"/>
              </w:rPr>
              <w:t>110</w:t>
            </w:r>
          </w:p>
        </w:tc>
        <w:tc>
          <w:tcPr>
            <w:tcW w:w="0" w:type="auto"/>
            <w:tcBorders>
              <w:top w:val="nil"/>
              <w:left w:val="nil"/>
              <w:bottom w:val="nil"/>
              <w:right w:val="nil"/>
            </w:tcBorders>
            <w:shd w:val="clear" w:color="auto" w:fill="auto"/>
            <w:noWrap/>
            <w:vAlign w:val="bottom"/>
            <w:hideMark/>
          </w:tcPr>
          <w:p w14:paraId="484B8994" w14:textId="59492BD0" w:rsidR="00607B8D" w:rsidRPr="00607B8D" w:rsidRDefault="00607B8D" w:rsidP="00607B8D">
            <w:pPr>
              <w:spacing w:after="0" w:line="240" w:lineRule="auto"/>
              <w:jc w:val="right"/>
              <w:rPr>
                <w:rFonts w:cs="Arial"/>
                <w:color w:val="000000"/>
                <w:sz w:val="20"/>
              </w:rPr>
            </w:pPr>
            <w:r w:rsidRPr="00607B8D">
              <w:rPr>
                <w:rFonts w:cs="Arial"/>
                <w:color w:val="000000"/>
                <w:sz w:val="20"/>
              </w:rPr>
              <w:t>116</w:t>
            </w:r>
          </w:p>
        </w:tc>
        <w:tc>
          <w:tcPr>
            <w:tcW w:w="0" w:type="auto"/>
            <w:tcBorders>
              <w:top w:val="nil"/>
              <w:left w:val="nil"/>
              <w:bottom w:val="nil"/>
              <w:right w:val="nil"/>
            </w:tcBorders>
            <w:shd w:val="clear" w:color="auto" w:fill="auto"/>
            <w:noWrap/>
            <w:vAlign w:val="bottom"/>
            <w:hideMark/>
          </w:tcPr>
          <w:p w14:paraId="14E9CE55" w14:textId="4EA1DCFC" w:rsidR="00607B8D" w:rsidRPr="00607B8D" w:rsidRDefault="00607B8D" w:rsidP="00607B8D">
            <w:pPr>
              <w:spacing w:after="0" w:line="240" w:lineRule="auto"/>
              <w:jc w:val="right"/>
              <w:rPr>
                <w:rFonts w:cs="Arial"/>
                <w:color w:val="000000"/>
                <w:sz w:val="20"/>
              </w:rPr>
            </w:pPr>
            <w:r w:rsidRPr="00C64973">
              <w:rPr>
                <w:noProof/>
              </w:rPr>
              <w:drawing>
                <wp:anchor distT="0" distB="0" distL="114300" distR="114300" simplePos="0" relativeHeight="251757056" behindDoc="0" locked="0" layoutInCell="1" allowOverlap="1" wp14:anchorId="28DF5AD4" wp14:editId="4A976A15">
                  <wp:simplePos x="0" y="0"/>
                  <wp:positionH relativeFrom="margin">
                    <wp:posOffset>-2807970</wp:posOffset>
                  </wp:positionH>
                  <wp:positionV relativeFrom="margin">
                    <wp:posOffset>-1127760</wp:posOffset>
                  </wp:positionV>
                  <wp:extent cx="6400800" cy="2735580"/>
                  <wp:effectExtent l="0" t="0" r="0" b="762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2735580"/>
                          </a:xfrm>
                          <a:prstGeom prst="rect">
                            <a:avLst/>
                          </a:prstGeom>
                          <a:noFill/>
                        </pic:spPr>
                      </pic:pic>
                    </a:graphicData>
                  </a:graphic>
                  <wp14:sizeRelH relativeFrom="margin">
                    <wp14:pctWidth>0</wp14:pctWidth>
                  </wp14:sizeRelH>
                  <wp14:sizeRelV relativeFrom="margin">
                    <wp14:pctHeight>0</wp14:pctHeight>
                  </wp14:sizeRelV>
                </wp:anchor>
              </w:drawing>
            </w:r>
            <w:r w:rsidRPr="00607B8D">
              <w:rPr>
                <w:rFonts w:cs="Arial"/>
                <w:color w:val="000000"/>
                <w:sz w:val="20"/>
              </w:rPr>
              <w:t>144</w:t>
            </w:r>
          </w:p>
        </w:tc>
        <w:tc>
          <w:tcPr>
            <w:tcW w:w="0" w:type="auto"/>
            <w:tcBorders>
              <w:top w:val="nil"/>
              <w:left w:val="nil"/>
              <w:bottom w:val="nil"/>
              <w:right w:val="nil"/>
            </w:tcBorders>
            <w:shd w:val="clear" w:color="auto" w:fill="auto"/>
            <w:noWrap/>
            <w:vAlign w:val="bottom"/>
            <w:hideMark/>
          </w:tcPr>
          <w:p w14:paraId="689D4501"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144</w:t>
            </w:r>
          </w:p>
        </w:tc>
        <w:tc>
          <w:tcPr>
            <w:tcW w:w="0" w:type="auto"/>
            <w:tcBorders>
              <w:top w:val="nil"/>
              <w:left w:val="nil"/>
              <w:bottom w:val="nil"/>
              <w:right w:val="nil"/>
            </w:tcBorders>
            <w:shd w:val="clear" w:color="auto" w:fill="auto"/>
            <w:noWrap/>
            <w:vAlign w:val="bottom"/>
            <w:hideMark/>
          </w:tcPr>
          <w:p w14:paraId="746D250E" w14:textId="03FE1F55" w:rsidR="00607B8D" w:rsidRPr="00607B8D" w:rsidRDefault="00607B8D" w:rsidP="00607B8D">
            <w:pPr>
              <w:spacing w:after="0" w:line="240" w:lineRule="auto"/>
              <w:jc w:val="right"/>
              <w:rPr>
                <w:rFonts w:cs="Arial"/>
                <w:color w:val="000000"/>
                <w:sz w:val="20"/>
              </w:rPr>
            </w:pPr>
            <w:r w:rsidRPr="00607B8D">
              <w:rPr>
                <w:rFonts w:cs="Arial"/>
                <w:color w:val="000000"/>
                <w:sz w:val="20"/>
              </w:rPr>
              <w:t>122</w:t>
            </w:r>
          </w:p>
        </w:tc>
        <w:tc>
          <w:tcPr>
            <w:tcW w:w="0" w:type="auto"/>
            <w:tcBorders>
              <w:top w:val="nil"/>
              <w:left w:val="nil"/>
              <w:bottom w:val="nil"/>
              <w:right w:val="nil"/>
            </w:tcBorders>
            <w:shd w:val="clear" w:color="auto" w:fill="auto"/>
            <w:noWrap/>
            <w:vAlign w:val="bottom"/>
            <w:hideMark/>
          </w:tcPr>
          <w:p w14:paraId="1A33874B" w14:textId="2B1BF243" w:rsidR="00607B8D" w:rsidRPr="00607B8D" w:rsidRDefault="00607B8D" w:rsidP="00607B8D">
            <w:pPr>
              <w:spacing w:after="0" w:line="240" w:lineRule="auto"/>
              <w:jc w:val="right"/>
              <w:rPr>
                <w:rFonts w:cs="Arial"/>
                <w:color w:val="000000"/>
                <w:sz w:val="20"/>
              </w:rPr>
            </w:pPr>
            <w:r w:rsidRPr="00607B8D">
              <w:rPr>
                <w:rFonts w:cs="Arial"/>
                <w:color w:val="000000"/>
                <w:sz w:val="20"/>
              </w:rPr>
              <w:t>102</w:t>
            </w:r>
          </w:p>
        </w:tc>
        <w:tc>
          <w:tcPr>
            <w:tcW w:w="0" w:type="auto"/>
            <w:tcBorders>
              <w:top w:val="nil"/>
              <w:left w:val="nil"/>
              <w:bottom w:val="nil"/>
              <w:right w:val="nil"/>
            </w:tcBorders>
            <w:shd w:val="clear" w:color="auto" w:fill="auto"/>
            <w:noWrap/>
            <w:vAlign w:val="bottom"/>
            <w:hideMark/>
          </w:tcPr>
          <w:p w14:paraId="45DA0FCD"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109</w:t>
            </w:r>
          </w:p>
        </w:tc>
        <w:tc>
          <w:tcPr>
            <w:tcW w:w="0" w:type="auto"/>
            <w:tcBorders>
              <w:top w:val="nil"/>
              <w:left w:val="nil"/>
              <w:bottom w:val="nil"/>
              <w:right w:val="nil"/>
            </w:tcBorders>
            <w:shd w:val="clear" w:color="auto" w:fill="auto"/>
            <w:noWrap/>
            <w:vAlign w:val="bottom"/>
            <w:hideMark/>
          </w:tcPr>
          <w:p w14:paraId="599D1738"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90</w:t>
            </w:r>
          </w:p>
        </w:tc>
        <w:tc>
          <w:tcPr>
            <w:tcW w:w="0" w:type="auto"/>
            <w:tcBorders>
              <w:top w:val="nil"/>
              <w:left w:val="nil"/>
              <w:bottom w:val="nil"/>
              <w:right w:val="nil"/>
            </w:tcBorders>
            <w:shd w:val="clear" w:color="auto" w:fill="auto"/>
            <w:noWrap/>
            <w:vAlign w:val="bottom"/>
            <w:hideMark/>
          </w:tcPr>
          <w:p w14:paraId="7A90A0D2"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133</w:t>
            </w:r>
          </w:p>
        </w:tc>
        <w:tc>
          <w:tcPr>
            <w:tcW w:w="0" w:type="auto"/>
            <w:tcBorders>
              <w:top w:val="nil"/>
              <w:left w:val="nil"/>
              <w:bottom w:val="nil"/>
              <w:right w:val="nil"/>
            </w:tcBorders>
            <w:shd w:val="clear" w:color="auto" w:fill="auto"/>
            <w:noWrap/>
            <w:vAlign w:val="bottom"/>
            <w:hideMark/>
          </w:tcPr>
          <w:p w14:paraId="1976A48F"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128</w:t>
            </w:r>
          </w:p>
        </w:tc>
      </w:tr>
      <w:tr w:rsidR="00607B8D" w:rsidRPr="00607B8D" w14:paraId="73C43C40" w14:textId="77777777" w:rsidTr="00607B8D">
        <w:trPr>
          <w:trHeight w:val="255"/>
        </w:trPr>
        <w:tc>
          <w:tcPr>
            <w:tcW w:w="0" w:type="auto"/>
            <w:tcBorders>
              <w:top w:val="nil"/>
              <w:left w:val="nil"/>
              <w:bottom w:val="nil"/>
              <w:right w:val="nil"/>
            </w:tcBorders>
            <w:shd w:val="clear" w:color="auto" w:fill="auto"/>
            <w:noWrap/>
            <w:vAlign w:val="bottom"/>
            <w:hideMark/>
          </w:tcPr>
          <w:p w14:paraId="78D1E632" w14:textId="77777777" w:rsidR="00607B8D" w:rsidRPr="00607B8D" w:rsidRDefault="00607B8D" w:rsidP="00607B8D">
            <w:pPr>
              <w:spacing w:after="0" w:line="240" w:lineRule="auto"/>
              <w:rPr>
                <w:rFonts w:cs="Arial"/>
                <w:sz w:val="20"/>
              </w:rPr>
            </w:pPr>
            <w:r w:rsidRPr="00607B8D">
              <w:rPr>
                <w:rFonts w:cs="Arial"/>
                <w:sz w:val="20"/>
              </w:rPr>
              <w:t xml:space="preserve">24-36 month need </w:t>
            </w:r>
          </w:p>
        </w:tc>
        <w:tc>
          <w:tcPr>
            <w:tcW w:w="0" w:type="auto"/>
            <w:tcBorders>
              <w:top w:val="nil"/>
              <w:left w:val="nil"/>
              <w:bottom w:val="nil"/>
              <w:right w:val="nil"/>
            </w:tcBorders>
            <w:shd w:val="clear" w:color="auto" w:fill="auto"/>
            <w:vAlign w:val="bottom"/>
            <w:hideMark/>
          </w:tcPr>
          <w:p w14:paraId="277916DC" w14:textId="77777777" w:rsidR="00607B8D" w:rsidRPr="00607B8D" w:rsidRDefault="00607B8D" w:rsidP="00607B8D">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6B6EB1CA" w14:textId="77777777" w:rsidR="00607B8D" w:rsidRPr="00607B8D" w:rsidRDefault="00607B8D" w:rsidP="00607B8D">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10A7713F"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180</w:t>
            </w:r>
          </w:p>
        </w:tc>
        <w:tc>
          <w:tcPr>
            <w:tcW w:w="0" w:type="auto"/>
            <w:tcBorders>
              <w:top w:val="nil"/>
              <w:left w:val="nil"/>
              <w:bottom w:val="nil"/>
              <w:right w:val="nil"/>
            </w:tcBorders>
            <w:shd w:val="clear" w:color="auto" w:fill="auto"/>
            <w:noWrap/>
            <w:vAlign w:val="bottom"/>
            <w:hideMark/>
          </w:tcPr>
          <w:p w14:paraId="02B02FDE"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187</w:t>
            </w:r>
          </w:p>
        </w:tc>
        <w:tc>
          <w:tcPr>
            <w:tcW w:w="0" w:type="auto"/>
            <w:tcBorders>
              <w:top w:val="nil"/>
              <w:left w:val="nil"/>
              <w:bottom w:val="nil"/>
              <w:right w:val="nil"/>
            </w:tcBorders>
            <w:shd w:val="clear" w:color="auto" w:fill="auto"/>
            <w:noWrap/>
            <w:vAlign w:val="bottom"/>
            <w:hideMark/>
          </w:tcPr>
          <w:p w14:paraId="3C29110B"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193</w:t>
            </w:r>
          </w:p>
        </w:tc>
        <w:tc>
          <w:tcPr>
            <w:tcW w:w="0" w:type="auto"/>
            <w:tcBorders>
              <w:top w:val="nil"/>
              <w:left w:val="nil"/>
              <w:bottom w:val="nil"/>
              <w:right w:val="nil"/>
            </w:tcBorders>
            <w:shd w:val="clear" w:color="auto" w:fill="auto"/>
            <w:noWrap/>
            <w:vAlign w:val="bottom"/>
            <w:hideMark/>
          </w:tcPr>
          <w:p w14:paraId="0E7FB216" w14:textId="5FBA943C" w:rsidR="00607B8D" w:rsidRPr="00607B8D" w:rsidRDefault="00607B8D" w:rsidP="00607B8D">
            <w:pPr>
              <w:spacing w:after="0" w:line="240" w:lineRule="auto"/>
              <w:jc w:val="right"/>
              <w:rPr>
                <w:rFonts w:cs="Arial"/>
                <w:color w:val="000000"/>
                <w:sz w:val="20"/>
              </w:rPr>
            </w:pPr>
            <w:r w:rsidRPr="00607B8D">
              <w:rPr>
                <w:rFonts w:cs="Arial"/>
                <w:color w:val="000000"/>
                <w:sz w:val="20"/>
              </w:rPr>
              <w:t>217</w:t>
            </w:r>
          </w:p>
        </w:tc>
        <w:tc>
          <w:tcPr>
            <w:tcW w:w="0" w:type="auto"/>
            <w:tcBorders>
              <w:top w:val="nil"/>
              <w:left w:val="nil"/>
              <w:bottom w:val="nil"/>
              <w:right w:val="nil"/>
            </w:tcBorders>
            <w:shd w:val="clear" w:color="auto" w:fill="auto"/>
            <w:noWrap/>
            <w:vAlign w:val="bottom"/>
            <w:hideMark/>
          </w:tcPr>
          <w:p w14:paraId="53DFAD5D" w14:textId="34DED3F3" w:rsidR="00607B8D" w:rsidRPr="00607B8D" w:rsidRDefault="00607B8D" w:rsidP="00607B8D">
            <w:pPr>
              <w:spacing w:after="0" w:line="240" w:lineRule="auto"/>
              <w:jc w:val="right"/>
              <w:rPr>
                <w:rFonts w:cs="Arial"/>
                <w:color w:val="000000"/>
                <w:sz w:val="20"/>
              </w:rPr>
            </w:pPr>
            <w:r w:rsidRPr="00607B8D">
              <w:rPr>
                <w:rFonts w:cs="Arial"/>
                <w:color w:val="000000"/>
                <w:sz w:val="20"/>
              </w:rPr>
              <w:t>228</w:t>
            </w:r>
          </w:p>
        </w:tc>
        <w:tc>
          <w:tcPr>
            <w:tcW w:w="0" w:type="auto"/>
            <w:tcBorders>
              <w:top w:val="nil"/>
              <w:left w:val="nil"/>
              <w:bottom w:val="nil"/>
              <w:right w:val="nil"/>
            </w:tcBorders>
            <w:shd w:val="clear" w:color="auto" w:fill="auto"/>
            <w:noWrap/>
            <w:vAlign w:val="bottom"/>
            <w:hideMark/>
          </w:tcPr>
          <w:p w14:paraId="470AAB8A"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212</w:t>
            </w:r>
          </w:p>
        </w:tc>
        <w:tc>
          <w:tcPr>
            <w:tcW w:w="0" w:type="auto"/>
            <w:tcBorders>
              <w:top w:val="nil"/>
              <w:left w:val="nil"/>
              <w:bottom w:val="nil"/>
              <w:right w:val="nil"/>
            </w:tcBorders>
            <w:shd w:val="clear" w:color="auto" w:fill="auto"/>
            <w:noWrap/>
            <w:vAlign w:val="bottom"/>
            <w:hideMark/>
          </w:tcPr>
          <w:p w14:paraId="7F63B667" w14:textId="598897A8" w:rsidR="00607B8D" w:rsidRPr="00607B8D" w:rsidRDefault="00607B8D" w:rsidP="00607B8D">
            <w:pPr>
              <w:spacing w:after="0" w:line="240" w:lineRule="auto"/>
              <w:jc w:val="right"/>
              <w:rPr>
                <w:rFonts w:cs="Arial"/>
                <w:color w:val="000000"/>
                <w:sz w:val="20"/>
              </w:rPr>
            </w:pPr>
            <w:r w:rsidRPr="00607B8D">
              <w:rPr>
                <w:rFonts w:cs="Arial"/>
                <w:color w:val="000000"/>
                <w:sz w:val="20"/>
              </w:rPr>
              <w:t>184</w:t>
            </w:r>
          </w:p>
        </w:tc>
        <w:tc>
          <w:tcPr>
            <w:tcW w:w="0" w:type="auto"/>
            <w:tcBorders>
              <w:top w:val="nil"/>
              <w:left w:val="nil"/>
              <w:bottom w:val="nil"/>
              <w:right w:val="nil"/>
            </w:tcBorders>
            <w:shd w:val="clear" w:color="auto" w:fill="auto"/>
            <w:noWrap/>
            <w:vAlign w:val="bottom"/>
            <w:hideMark/>
          </w:tcPr>
          <w:p w14:paraId="2F59957D"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201</w:t>
            </w:r>
          </w:p>
        </w:tc>
        <w:tc>
          <w:tcPr>
            <w:tcW w:w="0" w:type="auto"/>
            <w:tcBorders>
              <w:top w:val="nil"/>
              <w:left w:val="nil"/>
              <w:bottom w:val="nil"/>
              <w:right w:val="nil"/>
            </w:tcBorders>
            <w:shd w:val="clear" w:color="auto" w:fill="auto"/>
            <w:noWrap/>
            <w:vAlign w:val="bottom"/>
            <w:hideMark/>
          </w:tcPr>
          <w:p w14:paraId="1AC8B0DB"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162</w:t>
            </w:r>
          </w:p>
        </w:tc>
        <w:tc>
          <w:tcPr>
            <w:tcW w:w="0" w:type="auto"/>
            <w:tcBorders>
              <w:top w:val="nil"/>
              <w:left w:val="nil"/>
              <w:bottom w:val="nil"/>
              <w:right w:val="nil"/>
            </w:tcBorders>
            <w:shd w:val="clear" w:color="auto" w:fill="auto"/>
            <w:noWrap/>
            <w:vAlign w:val="bottom"/>
            <w:hideMark/>
          </w:tcPr>
          <w:p w14:paraId="2035903C"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216</w:t>
            </w:r>
          </w:p>
        </w:tc>
        <w:tc>
          <w:tcPr>
            <w:tcW w:w="0" w:type="auto"/>
            <w:tcBorders>
              <w:top w:val="nil"/>
              <w:left w:val="nil"/>
              <w:bottom w:val="nil"/>
              <w:right w:val="nil"/>
            </w:tcBorders>
            <w:shd w:val="clear" w:color="auto" w:fill="auto"/>
            <w:noWrap/>
            <w:vAlign w:val="bottom"/>
            <w:hideMark/>
          </w:tcPr>
          <w:p w14:paraId="41EB1CFF" w14:textId="77777777" w:rsidR="00607B8D" w:rsidRPr="00607B8D" w:rsidRDefault="00607B8D" w:rsidP="00607B8D">
            <w:pPr>
              <w:spacing w:after="0" w:line="240" w:lineRule="auto"/>
              <w:jc w:val="right"/>
              <w:rPr>
                <w:rFonts w:cs="Arial"/>
                <w:color w:val="000000"/>
                <w:sz w:val="20"/>
              </w:rPr>
            </w:pPr>
            <w:r w:rsidRPr="00607B8D">
              <w:rPr>
                <w:rFonts w:cs="Arial"/>
                <w:color w:val="000000"/>
                <w:sz w:val="20"/>
              </w:rPr>
              <w:t>211</w:t>
            </w:r>
          </w:p>
        </w:tc>
      </w:tr>
    </w:tbl>
    <w:p w14:paraId="1EE1ADFD" w14:textId="63259B8A" w:rsidR="00DF6C98" w:rsidRDefault="00DF6C98" w:rsidP="00BA43CE">
      <w:pPr>
        <w:pStyle w:val="Heading3"/>
      </w:pPr>
    </w:p>
    <w:p w14:paraId="34CCEC7A" w14:textId="0B1FC4A3" w:rsidR="00607B8D" w:rsidRDefault="00607B8D" w:rsidP="00607B8D"/>
    <w:p w14:paraId="5CC75836" w14:textId="685C8CA4" w:rsidR="00607B8D" w:rsidRDefault="00607B8D" w:rsidP="00607B8D"/>
    <w:p w14:paraId="418C6A89" w14:textId="77777777" w:rsidR="00607B8D" w:rsidRPr="00607B8D" w:rsidRDefault="00607B8D" w:rsidP="00607B8D"/>
    <w:p w14:paraId="2B0A598B" w14:textId="6176526E" w:rsidR="00BA43CE" w:rsidRPr="00C64973" w:rsidRDefault="00BA43CE" w:rsidP="00BA43CE">
      <w:pPr>
        <w:pStyle w:val="Heading3"/>
      </w:pPr>
      <w:r w:rsidRPr="00C64973">
        <w:t>Table 11: Projected Short-Term Need: 12–24 Months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40"/>
        <w:gridCol w:w="1290"/>
        <w:gridCol w:w="1290"/>
        <w:gridCol w:w="1290"/>
      </w:tblGrid>
      <w:tr w:rsidR="00BA43CE" w:rsidRPr="00C64973" w14:paraId="5F9B2C01" w14:textId="77777777" w:rsidTr="006F3AF6">
        <w:trPr>
          <w:cantSplit/>
          <w:tblHeader/>
        </w:trPr>
        <w:tc>
          <w:tcPr>
            <w:tcW w:w="2340" w:type="dxa"/>
            <w:tcBorders>
              <w:top w:val="nil"/>
              <w:left w:val="nil"/>
              <w:right w:val="nil"/>
            </w:tcBorders>
          </w:tcPr>
          <w:p w14:paraId="471A0223" w14:textId="7DD67D7A" w:rsidR="00BA43CE" w:rsidRPr="00C64973" w:rsidRDefault="00BA43CE" w:rsidP="00E51125">
            <w:pPr>
              <w:pStyle w:val="Heading4"/>
              <w:spacing w:after="0"/>
            </w:pPr>
          </w:p>
        </w:tc>
        <w:tc>
          <w:tcPr>
            <w:tcW w:w="1290" w:type="dxa"/>
            <w:tcBorders>
              <w:top w:val="nil"/>
              <w:left w:val="nil"/>
              <w:right w:val="nil"/>
            </w:tcBorders>
          </w:tcPr>
          <w:p w14:paraId="4BD0CDFC" w14:textId="415188AF" w:rsidR="00BA43CE" w:rsidRPr="00C64973" w:rsidRDefault="00A60F79" w:rsidP="00D42724">
            <w:pPr>
              <w:jc w:val="center"/>
              <w:rPr>
                <w:b/>
              </w:rPr>
            </w:pPr>
            <w:r w:rsidRPr="00C64973">
              <w:rPr>
                <w:b/>
              </w:rPr>
              <w:t>2018</w:t>
            </w:r>
          </w:p>
        </w:tc>
        <w:tc>
          <w:tcPr>
            <w:tcW w:w="1290" w:type="dxa"/>
            <w:tcBorders>
              <w:top w:val="nil"/>
              <w:left w:val="nil"/>
              <w:right w:val="nil"/>
            </w:tcBorders>
          </w:tcPr>
          <w:p w14:paraId="247B0B26" w14:textId="748640DE" w:rsidR="00BA43CE" w:rsidRPr="00C64973" w:rsidRDefault="00A60F79" w:rsidP="00D42724">
            <w:pPr>
              <w:jc w:val="center"/>
              <w:rPr>
                <w:b/>
              </w:rPr>
            </w:pPr>
            <w:r w:rsidRPr="00C64973">
              <w:rPr>
                <w:b/>
              </w:rPr>
              <w:t>2019</w:t>
            </w:r>
          </w:p>
        </w:tc>
        <w:tc>
          <w:tcPr>
            <w:tcW w:w="1290" w:type="dxa"/>
            <w:tcBorders>
              <w:top w:val="nil"/>
              <w:left w:val="nil"/>
              <w:right w:val="nil"/>
            </w:tcBorders>
          </w:tcPr>
          <w:p w14:paraId="1F67790A" w14:textId="0D434197" w:rsidR="00BA43CE" w:rsidRPr="00C64973" w:rsidRDefault="00A60F79" w:rsidP="00D42724">
            <w:pPr>
              <w:jc w:val="center"/>
              <w:rPr>
                <w:b/>
              </w:rPr>
            </w:pPr>
            <w:r w:rsidRPr="00C64973">
              <w:rPr>
                <w:b/>
              </w:rPr>
              <w:t>2020</w:t>
            </w:r>
          </w:p>
        </w:tc>
      </w:tr>
      <w:tr w:rsidR="00BA43CE" w:rsidRPr="00C64973" w14:paraId="65423E22" w14:textId="77777777" w:rsidTr="00E51125">
        <w:tc>
          <w:tcPr>
            <w:tcW w:w="2340" w:type="dxa"/>
          </w:tcPr>
          <w:p w14:paraId="5EF4051E" w14:textId="2FBE9A0F" w:rsidR="00BA43CE" w:rsidRPr="00C64973" w:rsidRDefault="00723F4D" w:rsidP="00E51125">
            <w:pPr>
              <w:tabs>
                <w:tab w:val="left" w:pos="342"/>
              </w:tabs>
              <w:spacing w:after="0" w:line="288" w:lineRule="auto"/>
              <w:rPr>
                <w:b/>
              </w:rPr>
            </w:pPr>
            <w:r w:rsidRPr="00C64973">
              <w:rPr>
                <w:b/>
              </w:rPr>
              <w:t>TVI</w:t>
            </w:r>
            <w:r w:rsidR="00BA43CE" w:rsidRPr="00C64973">
              <w:rPr>
                <w:b/>
              </w:rPr>
              <w:t>s</w:t>
            </w:r>
            <w:r w:rsidR="00BA43CE" w:rsidRPr="00C64973">
              <w:rPr>
                <w:rFonts w:cs="Calibri"/>
                <w:sz w:val="18"/>
                <w:vertAlign w:val="superscript"/>
              </w:rPr>
              <w:t>1</w:t>
            </w:r>
          </w:p>
        </w:tc>
        <w:tc>
          <w:tcPr>
            <w:tcW w:w="1290" w:type="dxa"/>
            <w:vAlign w:val="center"/>
          </w:tcPr>
          <w:p w14:paraId="5275392C" w14:textId="70000AA6" w:rsidR="00BA43CE" w:rsidRPr="00C64973" w:rsidRDefault="00A60F79" w:rsidP="00E51125">
            <w:pPr>
              <w:spacing w:after="0" w:line="288" w:lineRule="auto"/>
              <w:jc w:val="center"/>
            </w:pPr>
            <w:r w:rsidRPr="00C64973">
              <w:t>69</w:t>
            </w:r>
          </w:p>
        </w:tc>
        <w:tc>
          <w:tcPr>
            <w:tcW w:w="1290" w:type="dxa"/>
            <w:vAlign w:val="center"/>
          </w:tcPr>
          <w:p w14:paraId="761F2EB0" w14:textId="20740C5A" w:rsidR="00BA43CE" w:rsidRPr="00C64973" w:rsidRDefault="00A60F79" w:rsidP="00E51125">
            <w:pPr>
              <w:spacing w:after="0" w:line="288" w:lineRule="auto"/>
              <w:jc w:val="center"/>
            </w:pPr>
            <w:r w:rsidRPr="00C64973">
              <w:t>103</w:t>
            </w:r>
          </w:p>
        </w:tc>
        <w:tc>
          <w:tcPr>
            <w:tcW w:w="1290" w:type="dxa"/>
            <w:shd w:val="clear" w:color="auto" w:fill="auto"/>
            <w:vAlign w:val="center"/>
          </w:tcPr>
          <w:p w14:paraId="254F10BF" w14:textId="137C0BDE" w:rsidR="00BA43CE" w:rsidRPr="00C64973" w:rsidRDefault="00A60F79" w:rsidP="00E51125">
            <w:pPr>
              <w:spacing w:after="0" w:line="288" w:lineRule="auto"/>
              <w:jc w:val="center"/>
            </w:pPr>
            <w:r w:rsidRPr="00C64973">
              <w:t>99</w:t>
            </w:r>
          </w:p>
        </w:tc>
      </w:tr>
      <w:tr w:rsidR="00BA43CE" w:rsidRPr="00C64973" w14:paraId="6DCDA98B" w14:textId="77777777" w:rsidTr="00E51125">
        <w:tc>
          <w:tcPr>
            <w:tcW w:w="2340" w:type="dxa"/>
          </w:tcPr>
          <w:p w14:paraId="39569AE2" w14:textId="001A65FC" w:rsidR="00BA43CE" w:rsidRPr="00C64973" w:rsidRDefault="00D574E5" w:rsidP="00E51125">
            <w:pPr>
              <w:tabs>
                <w:tab w:val="left" w:pos="342"/>
              </w:tabs>
              <w:spacing w:after="0" w:line="288" w:lineRule="auto"/>
              <w:rPr>
                <w:b/>
              </w:rPr>
            </w:pPr>
            <w:r>
              <w:rPr>
                <w:b/>
              </w:rPr>
              <w:t>COMS</w:t>
            </w:r>
            <w:r w:rsidR="00BA43CE" w:rsidRPr="00C64973">
              <w:rPr>
                <w:rFonts w:cs="Calibri"/>
                <w:sz w:val="18"/>
                <w:vertAlign w:val="superscript"/>
              </w:rPr>
              <w:t>1</w:t>
            </w:r>
          </w:p>
        </w:tc>
        <w:tc>
          <w:tcPr>
            <w:tcW w:w="1290" w:type="dxa"/>
            <w:vAlign w:val="center"/>
          </w:tcPr>
          <w:p w14:paraId="4A80A598" w14:textId="0D5E5F20" w:rsidR="00BA43CE" w:rsidRPr="00C64973" w:rsidRDefault="00A60F79" w:rsidP="00E51125">
            <w:pPr>
              <w:spacing w:after="0" w:line="288" w:lineRule="auto"/>
              <w:jc w:val="center"/>
            </w:pPr>
            <w:r w:rsidRPr="00C64973">
              <w:t>33</w:t>
            </w:r>
          </w:p>
        </w:tc>
        <w:tc>
          <w:tcPr>
            <w:tcW w:w="1290" w:type="dxa"/>
            <w:vAlign w:val="center"/>
          </w:tcPr>
          <w:p w14:paraId="445D9BB9" w14:textId="2C1E7910" w:rsidR="00BA43CE" w:rsidRPr="00C64973" w:rsidRDefault="00A60F79" w:rsidP="00E51125">
            <w:pPr>
              <w:spacing w:after="0" w:line="288" w:lineRule="auto"/>
              <w:jc w:val="center"/>
            </w:pPr>
            <w:r w:rsidRPr="00C64973">
              <w:t>52</w:t>
            </w:r>
          </w:p>
        </w:tc>
        <w:tc>
          <w:tcPr>
            <w:tcW w:w="1290" w:type="dxa"/>
            <w:shd w:val="clear" w:color="auto" w:fill="auto"/>
            <w:vAlign w:val="center"/>
          </w:tcPr>
          <w:p w14:paraId="562BEA70" w14:textId="5E1B3AB7" w:rsidR="00BA43CE" w:rsidRPr="00C64973" w:rsidRDefault="00A60F79" w:rsidP="00E51125">
            <w:pPr>
              <w:spacing w:after="0" w:line="288" w:lineRule="auto"/>
              <w:jc w:val="center"/>
            </w:pPr>
            <w:r w:rsidRPr="00C64973">
              <w:t>47</w:t>
            </w:r>
          </w:p>
        </w:tc>
      </w:tr>
      <w:tr w:rsidR="00BA43CE" w:rsidRPr="00C64973" w14:paraId="1A623CFF" w14:textId="77777777" w:rsidTr="00E51125">
        <w:tc>
          <w:tcPr>
            <w:tcW w:w="2340" w:type="dxa"/>
          </w:tcPr>
          <w:p w14:paraId="05EE380E" w14:textId="77777777" w:rsidR="00BA43CE" w:rsidRPr="00C64973" w:rsidRDefault="00BA43CE" w:rsidP="00E51125">
            <w:pPr>
              <w:tabs>
                <w:tab w:val="left" w:pos="342"/>
              </w:tabs>
              <w:spacing w:after="0" w:line="288" w:lineRule="auto"/>
              <w:rPr>
                <w:b/>
              </w:rPr>
            </w:pPr>
            <w:r w:rsidRPr="00C64973">
              <w:rPr>
                <w:b/>
              </w:rPr>
              <w:t>Overall</w:t>
            </w:r>
            <w:r w:rsidRPr="00C64973">
              <w:rPr>
                <w:rFonts w:cs="Calibri"/>
                <w:sz w:val="18"/>
                <w:vertAlign w:val="superscript"/>
              </w:rPr>
              <w:t>1</w:t>
            </w:r>
            <w:r w:rsidRPr="00C64973">
              <w:rPr>
                <w:b/>
              </w:rPr>
              <w:t xml:space="preserve"> </w:t>
            </w:r>
          </w:p>
        </w:tc>
        <w:tc>
          <w:tcPr>
            <w:tcW w:w="1290" w:type="dxa"/>
            <w:vAlign w:val="center"/>
          </w:tcPr>
          <w:p w14:paraId="1EE91C9F" w14:textId="38E5E6C8" w:rsidR="00BA43CE" w:rsidRPr="00C64973" w:rsidRDefault="00A60F79" w:rsidP="00E51125">
            <w:pPr>
              <w:spacing w:after="0" w:line="288" w:lineRule="auto"/>
              <w:jc w:val="center"/>
              <w:rPr>
                <w:b/>
              </w:rPr>
            </w:pPr>
            <w:r w:rsidRPr="00C64973">
              <w:rPr>
                <w:b/>
              </w:rPr>
              <w:t>90</w:t>
            </w:r>
          </w:p>
        </w:tc>
        <w:tc>
          <w:tcPr>
            <w:tcW w:w="1290" w:type="dxa"/>
            <w:vAlign w:val="center"/>
          </w:tcPr>
          <w:p w14:paraId="6FFBC7B1" w14:textId="5D20F53E" w:rsidR="00BA43CE" w:rsidRPr="00C64973" w:rsidRDefault="00A60F79" w:rsidP="00E51125">
            <w:pPr>
              <w:spacing w:after="0" w:line="288" w:lineRule="auto"/>
              <w:jc w:val="center"/>
              <w:rPr>
                <w:b/>
              </w:rPr>
            </w:pPr>
            <w:r w:rsidRPr="00C64973">
              <w:rPr>
                <w:b/>
              </w:rPr>
              <w:t>133</w:t>
            </w:r>
          </w:p>
        </w:tc>
        <w:tc>
          <w:tcPr>
            <w:tcW w:w="1290" w:type="dxa"/>
            <w:shd w:val="clear" w:color="auto" w:fill="auto"/>
            <w:vAlign w:val="center"/>
          </w:tcPr>
          <w:p w14:paraId="2928B987" w14:textId="2FF1FC55" w:rsidR="00BA43CE" w:rsidRPr="00C64973" w:rsidRDefault="00DF71F2" w:rsidP="00E51125">
            <w:pPr>
              <w:spacing w:after="0" w:line="288" w:lineRule="auto"/>
              <w:jc w:val="center"/>
              <w:rPr>
                <w:b/>
              </w:rPr>
            </w:pPr>
            <w:r w:rsidRPr="00C64973">
              <w:rPr>
                <w:b/>
              </w:rPr>
              <w:t>128</w:t>
            </w:r>
          </w:p>
        </w:tc>
      </w:tr>
    </w:tbl>
    <w:p w14:paraId="0117BD15" w14:textId="12ED7920" w:rsidR="007D0F82" w:rsidRPr="00C64973" w:rsidRDefault="00BA43CE" w:rsidP="002603BB">
      <w:pPr>
        <w:pStyle w:val="ListParagraph"/>
        <w:numPr>
          <w:ilvl w:val="0"/>
          <w:numId w:val="38"/>
        </w:numPr>
        <w:tabs>
          <w:tab w:val="left" w:pos="720"/>
        </w:tabs>
        <w:spacing w:line="288" w:lineRule="auto"/>
        <w:rPr>
          <w:sz w:val="20"/>
        </w:rPr>
      </w:pPr>
      <w:r w:rsidRPr="00C64973">
        <w:rPr>
          <w:sz w:val="20"/>
        </w:rPr>
        <w:t>Projections reflect job expertise, not assignment. As a result, “</w:t>
      </w:r>
      <w:r w:rsidR="00723F4D" w:rsidRPr="00C64973">
        <w:rPr>
          <w:sz w:val="20"/>
        </w:rPr>
        <w:t>TVI</w:t>
      </w:r>
      <w:r w:rsidRPr="00C64973">
        <w:rPr>
          <w:sz w:val="20"/>
        </w:rPr>
        <w:t>s” and “</w:t>
      </w:r>
      <w:r w:rsidR="00D574E5">
        <w:rPr>
          <w:sz w:val="20"/>
        </w:rPr>
        <w:t>COMS</w:t>
      </w:r>
      <w:r w:rsidRPr="00C64973">
        <w:rPr>
          <w:sz w:val="20"/>
        </w:rPr>
        <w:t xml:space="preserve">” include data for dually certified staff in both categories and </w:t>
      </w:r>
      <w:r w:rsidRPr="00C64973">
        <w:rPr>
          <w:sz w:val="20"/>
          <w:u w:val="single"/>
        </w:rPr>
        <w:t>cannot be totaled</w:t>
      </w:r>
      <w:r w:rsidRPr="00C64973">
        <w:rPr>
          <w:sz w:val="20"/>
        </w:rPr>
        <w:t>. “Overall” includes all VI professionals and is adjusted for dually certified VI professionals.</w:t>
      </w:r>
    </w:p>
    <w:p w14:paraId="190EBF90" w14:textId="77777777" w:rsidR="002603BB" w:rsidRPr="00C64973" w:rsidRDefault="002603BB" w:rsidP="002603BB">
      <w:pPr>
        <w:pStyle w:val="ListParagraph"/>
        <w:tabs>
          <w:tab w:val="left" w:pos="720"/>
        </w:tabs>
        <w:spacing w:line="288" w:lineRule="auto"/>
        <w:rPr>
          <w:sz w:val="20"/>
        </w:rPr>
      </w:pPr>
    </w:p>
    <w:p w14:paraId="69D15A23" w14:textId="01DD37C0" w:rsidR="00BA43CE" w:rsidRPr="00C64973" w:rsidRDefault="00BA43CE" w:rsidP="00BA43CE">
      <w:pPr>
        <w:pStyle w:val="Heading3"/>
      </w:pPr>
      <w:r w:rsidRPr="00C64973">
        <w:t>Table 12: Projected Longer-Term Need: 24–36 Months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40"/>
        <w:gridCol w:w="1290"/>
        <w:gridCol w:w="1290"/>
        <w:gridCol w:w="1290"/>
      </w:tblGrid>
      <w:tr w:rsidR="00BA43CE" w:rsidRPr="00C64973" w14:paraId="235C6634" w14:textId="77777777" w:rsidTr="006F3AF6">
        <w:trPr>
          <w:cantSplit/>
          <w:tblHeader/>
        </w:trPr>
        <w:tc>
          <w:tcPr>
            <w:tcW w:w="2340" w:type="dxa"/>
            <w:tcBorders>
              <w:top w:val="nil"/>
              <w:left w:val="nil"/>
              <w:right w:val="nil"/>
            </w:tcBorders>
          </w:tcPr>
          <w:p w14:paraId="1F7BDABE" w14:textId="621CD8D4" w:rsidR="00BA43CE" w:rsidRPr="00C64973" w:rsidRDefault="00BA43CE" w:rsidP="00E51125">
            <w:pPr>
              <w:pStyle w:val="Heading4"/>
              <w:spacing w:after="0"/>
            </w:pPr>
          </w:p>
        </w:tc>
        <w:tc>
          <w:tcPr>
            <w:tcW w:w="1290" w:type="dxa"/>
            <w:tcBorders>
              <w:top w:val="nil"/>
              <w:left w:val="nil"/>
              <w:right w:val="nil"/>
            </w:tcBorders>
          </w:tcPr>
          <w:p w14:paraId="6D835F52" w14:textId="2CEFFE79" w:rsidR="00BA43CE" w:rsidRPr="00C64973" w:rsidRDefault="00403ADF" w:rsidP="00D42724">
            <w:pPr>
              <w:jc w:val="center"/>
              <w:rPr>
                <w:b/>
              </w:rPr>
            </w:pPr>
            <w:r w:rsidRPr="00C64973">
              <w:rPr>
                <w:b/>
              </w:rPr>
              <w:t>2018</w:t>
            </w:r>
          </w:p>
        </w:tc>
        <w:tc>
          <w:tcPr>
            <w:tcW w:w="1290" w:type="dxa"/>
            <w:tcBorders>
              <w:top w:val="nil"/>
              <w:left w:val="nil"/>
              <w:right w:val="nil"/>
            </w:tcBorders>
          </w:tcPr>
          <w:p w14:paraId="63ECC4BF" w14:textId="60336B27" w:rsidR="00BA43CE" w:rsidRPr="00C64973" w:rsidRDefault="00403ADF" w:rsidP="00D42724">
            <w:pPr>
              <w:jc w:val="center"/>
              <w:rPr>
                <w:b/>
              </w:rPr>
            </w:pPr>
            <w:r w:rsidRPr="00C64973">
              <w:rPr>
                <w:b/>
              </w:rPr>
              <w:t>2019</w:t>
            </w:r>
          </w:p>
        </w:tc>
        <w:tc>
          <w:tcPr>
            <w:tcW w:w="1290" w:type="dxa"/>
            <w:tcBorders>
              <w:top w:val="nil"/>
              <w:left w:val="nil"/>
              <w:right w:val="nil"/>
            </w:tcBorders>
          </w:tcPr>
          <w:p w14:paraId="0D44CC40" w14:textId="70FFB057" w:rsidR="00BA43CE" w:rsidRPr="00C64973" w:rsidRDefault="00403ADF" w:rsidP="00D42724">
            <w:pPr>
              <w:jc w:val="center"/>
              <w:rPr>
                <w:b/>
              </w:rPr>
            </w:pPr>
            <w:r w:rsidRPr="00C64973">
              <w:rPr>
                <w:b/>
              </w:rPr>
              <w:t>2020</w:t>
            </w:r>
          </w:p>
        </w:tc>
      </w:tr>
      <w:tr w:rsidR="00BA43CE" w:rsidRPr="00C64973" w14:paraId="06F7D2DC" w14:textId="77777777" w:rsidTr="00E51125">
        <w:tc>
          <w:tcPr>
            <w:tcW w:w="2340" w:type="dxa"/>
          </w:tcPr>
          <w:p w14:paraId="2AC9A026" w14:textId="54B9C6DF" w:rsidR="00BA43CE" w:rsidRPr="00C64973" w:rsidRDefault="00723F4D" w:rsidP="00E51125">
            <w:pPr>
              <w:tabs>
                <w:tab w:val="left" w:pos="342"/>
              </w:tabs>
              <w:spacing w:after="0" w:line="288" w:lineRule="auto"/>
              <w:rPr>
                <w:b/>
              </w:rPr>
            </w:pPr>
            <w:r w:rsidRPr="00C64973">
              <w:rPr>
                <w:b/>
              </w:rPr>
              <w:t>TVI</w:t>
            </w:r>
            <w:r w:rsidR="00BA43CE" w:rsidRPr="00C64973">
              <w:rPr>
                <w:b/>
              </w:rPr>
              <w:t>s</w:t>
            </w:r>
            <w:r w:rsidR="00BA43CE" w:rsidRPr="00C64973">
              <w:rPr>
                <w:rFonts w:cs="Calibri"/>
                <w:sz w:val="18"/>
                <w:vertAlign w:val="superscript"/>
              </w:rPr>
              <w:t>1</w:t>
            </w:r>
          </w:p>
        </w:tc>
        <w:tc>
          <w:tcPr>
            <w:tcW w:w="1290" w:type="dxa"/>
            <w:vAlign w:val="center"/>
          </w:tcPr>
          <w:p w14:paraId="1411A1AE" w14:textId="7EBCFDDE" w:rsidR="00BA43CE" w:rsidRPr="00C64973" w:rsidRDefault="00403ADF" w:rsidP="00E51125">
            <w:pPr>
              <w:spacing w:after="0" w:line="288" w:lineRule="auto"/>
              <w:jc w:val="center"/>
            </w:pPr>
            <w:r w:rsidRPr="00C64973">
              <w:t>125</w:t>
            </w:r>
          </w:p>
        </w:tc>
        <w:tc>
          <w:tcPr>
            <w:tcW w:w="1290" w:type="dxa"/>
            <w:vAlign w:val="center"/>
          </w:tcPr>
          <w:p w14:paraId="03745BD1" w14:textId="42667FE1" w:rsidR="00BA43CE" w:rsidRPr="00C64973" w:rsidRDefault="00403ADF" w:rsidP="00E51125">
            <w:pPr>
              <w:spacing w:after="0" w:line="288" w:lineRule="auto"/>
              <w:jc w:val="center"/>
            </w:pPr>
            <w:r w:rsidRPr="00C64973">
              <w:t>168</w:t>
            </w:r>
          </w:p>
        </w:tc>
        <w:tc>
          <w:tcPr>
            <w:tcW w:w="1290" w:type="dxa"/>
            <w:shd w:val="clear" w:color="auto" w:fill="auto"/>
            <w:vAlign w:val="center"/>
          </w:tcPr>
          <w:p w14:paraId="21F31EF8" w14:textId="24FB87CD" w:rsidR="00BA43CE" w:rsidRPr="00C64973" w:rsidRDefault="00403ADF" w:rsidP="00E51125">
            <w:pPr>
              <w:spacing w:after="0" w:line="288" w:lineRule="auto"/>
              <w:jc w:val="center"/>
            </w:pPr>
            <w:r w:rsidRPr="00C64973">
              <w:t>159</w:t>
            </w:r>
          </w:p>
        </w:tc>
      </w:tr>
      <w:tr w:rsidR="00BA43CE" w:rsidRPr="00C64973" w14:paraId="635AF5F9" w14:textId="77777777" w:rsidTr="00E51125">
        <w:tc>
          <w:tcPr>
            <w:tcW w:w="2340" w:type="dxa"/>
          </w:tcPr>
          <w:p w14:paraId="6C60EF53" w14:textId="77777777" w:rsidR="00BA43CE" w:rsidRPr="00C64973" w:rsidRDefault="00BA43CE" w:rsidP="00E51125">
            <w:pPr>
              <w:tabs>
                <w:tab w:val="left" w:pos="342"/>
              </w:tabs>
              <w:spacing w:after="0" w:line="288" w:lineRule="auto"/>
              <w:rPr>
                <w:b/>
              </w:rPr>
            </w:pPr>
            <w:r w:rsidRPr="00C64973">
              <w:rPr>
                <w:b/>
              </w:rPr>
              <w:t>COMS</w:t>
            </w:r>
            <w:r w:rsidRPr="00C64973">
              <w:rPr>
                <w:rFonts w:cs="Calibri"/>
                <w:sz w:val="18"/>
                <w:vertAlign w:val="superscript"/>
              </w:rPr>
              <w:t>1</w:t>
            </w:r>
          </w:p>
        </w:tc>
        <w:tc>
          <w:tcPr>
            <w:tcW w:w="1290" w:type="dxa"/>
            <w:vAlign w:val="center"/>
          </w:tcPr>
          <w:p w14:paraId="5DCA4633" w14:textId="23EDF384" w:rsidR="00BA43CE" w:rsidRPr="00C64973" w:rsidRDefault="00403ADF" w:rsidP="00E51125">
            <w:pPr>
              <w:spacing w:after="0" w:line="288" w:lineRule="auto"/>
              <w:jc w:val="center"/>
            </w:pPr>
            <w:r w:rsidRPr="00C64973">
              <w:t>57</w:t>
            </w:r>
          </w:p>
        </w:tc>
        <w:tc>
          <w:tcPr>
            <w:tcW w:w="1290" w:type="dxa"/>
            <w:vAlign w:val="center"/>
          </w:tcPr>
          <w:p w14:paraId="33F406E4" w14:textId="516A227B" w:rsidR="00BA43CE" w:rsidRPr="00C64973" w:rsidRDefault="00403ADF" w:rsidP="00E51125">
            <w:pPr>
              <w:spacing w:after="0" w:line="288" w:lineRule="auto"/>
              <w:jc w:val="center"/>
            </w:pPr>
            <w:r w:rsidRPr="00C64973">
              <w:t>81</w:t>
            </w:r>
          </w:p>
        </w:tc>
        <w:tc>
          <w:tcPr>
            <w:tcW w:w="1290" w:type="dxa"/>
            <w:shd w:val="clear" w:color="auto" w:fill="auto"/>
            <w:vAlign w:val="center"/>
          </w:tcPr>
          <w:p w14:paraId="33B9360A" w14:textId="05C44D01" w:rsidR="00BA43CE" w:rsidRPr="00C64973" w:rsidRDefault="00403ADF" w:rsidP="00E51125">
            <w:pPr>
              <w:spacing w:after="0" w:line="288" w:lineRule="auto"/>
              <w:jc w:val="center"/>
            </w:pPr>
            <w:r w:rsidRPr="00C64973">
              <w:t>87</w:t>
            </w:r>
          </w:p>
        </w:tc>
      </w:tr>
      <w:tr w:rsidR="00BA43CE" w:rsidRPr="00C64973" w14:paraId="6B90B1E5" w14:textId="77777777" w:rsidTr="00E51125">
        <w:tc>
          <w:tcPr>
            <w:tcW w:w="2340" w:type="dxa"/>
          </w:tcPr>
          <w:p w14:paraId="339B3137" w14:textId="77777777" w:rsidR="00BA43CE" w:rsidRPr="00C64973" w:rsidRDefault="00BA43CE" w:rsidP="00E51125">
            <w:pPr>
              <w:tabs>
                <w:tab w:val="left" w:pos="342"/>
              </w:tabs>
              <w:spacing w:after="0" w:line="288" w:lineRule="auto"/>
              <w:rPr>
                <w:b/>
              </w:rPr>
            </w:pPr>
            <w:r w:rsidRPr="00C64973">
              <w:rPr>
                <w:b/>
              </w:rPr>
              <w:t>Overall</w:t>
            </w:r>
            <w:r w:rsidRPr="00C64973">
              <w:rPr>
                <w:rFonts w:cs="Calibri"/>
                <w:sz w:val="18"/>
                <w:vertAlign w:val="superscript"/>
              </w:rPr>
              <w:t>1</w:t>
            </w:r>
            <w:r w:rsidRPr="00C64973">
              <w:rPr>
                <w:b/>
              </w:rPr>
              <w:t xml:space="preserve"> </w:t>
            </w:r>
          </w:p>
        </w:tc>
        <w:tc>
          <w:tcPr>
            <w:tcW w:w="1290" w:type="dxa"/>
            <w:vAlign w:val="center"/>
          </w:tcPr>
          <w:p w14:paraId="63BBEA10" w14:textId="4EEBEE08" w:rsidR="00BA43CE" w:rsidRPr="00C64973" w:rsidRDefault="00403ADF" w:rsidP="00E51125">
            <w:pPr>
              <w:spacing w:after="0" w:line="288" w:lineRule="auto"/>
              <w:jc w:val="center"/>
              <w:rPr>
                <w:b/>
              </w:rPr>
            </w:pPr>
            <w:r w:rsidRPr="00C64973">
              <w:rPr>
                <w:b/>
              </w:rPr>
              <w:t>162</w:t>
            </w:r>
          </w:p>
        </w:tc>
        <w:tc>
          <w:tcPr>
            <w:tcW w:w="1290" w:type="dxa"/>
            <w:vAlign w:val="center"/>
          </w:tcPr>
          <w:p w14:paraId="3B0F54E9" w14:textId="5AB7055D" w:rsidR="00BA43CE" w:rsidRPr="00C64973" w:rsidRDefault="00403ADF" w:rsidP="00E51125">
            <w:pPr>
              <w:spacing w:after="0" w:line="288" w:lineRule="auto"/>
              <w:jc w:val="center"/>
              <w:rPr>
                <w:b/>
              </w:rPr>
            </w:pPr>
            <w:r w:rsidRPr="00C64973">
              <w:rPr>
                <w:b/>
              </w:rPr>
              <w:t>216</w:t>
            </w:r>
          </w:p>
        </w:tc>
        <w:tc>
          <w:tcPr>
            <w:tcW w:w="1290" w:type="dxa"/>
            <w:shd w:val="clear" w:color="auto" w:fill="auto"/>
            <w:vAlign w:val="center"/>
          </w:tcPr>
          <w:p w14:paraId="5639341A" w14:textId="25CE7490" w:rsidR="00BA43CE" w:rsidRPr="00C64973" w:rsidRDefault="00403ADF" w:rsidP="00E51125">
            <w:pPr>
              <w:spacing w:after="0" w:line="288" w:lineRule="auto"/>
              <w:jc w:val="center"/>
              <w:rPr>
                <w:b/>
              </w:rPr>
            </w:pPr>
            <w:r w:rsidRPr="00C64973">
              <w:rPr>
                <w:b/>
              </w:rPr>
              <w:t>211</w:t>
            </w:r>
          </w:p>
        </w:tc>
      </w:tr>
    </w:tbl>
    <w:p w14:paraId="29057FF9" w14:textId="386E618E" w:rsidR="00BA43CE" w:rsidRPr="00C64973" w:rsidRDefault="00BA43CE" w:rsidP="00BA43CE">
      <w:pPr>
        <w:tabs>
          <w:tab w:val="left" w:pos="720"/>
        </w:tabs>
        <w:spacing w:line="288" w:lineRule="auto"/>
        <w:ind w:left="720" w:hanging="360"/>
        <w:rPr>
          <w:szCs w:val="24"/>
        </w:rPr>
      </w:pPr>
      <w:r w:rsidRPr="00C64973">
        <w:rPr>
          <w:rFonts w:cs="Calibri"/>
          <w:szCs w:val="24"/>
          <w:vertAlign w:val="superscript"/>
        </w:rPr>
        <w:t>1</w:t>
      </w:r>
      <w:r w:rsidRPr="00C64973">
        <w:rPr>
          <w:rFonts w:cs="Calibri"/>
          <w:szCs w:val="24"/>
          <w:vertAlign w:val="superscript"/>
        </w:rPr>
        <w:tab/>
      </w:r>
      <w:r w:rsidRPr="00C64973">
        <w:rPr>
          <w:sz w:val="20"/>
        </w:rPr>
        <w:t>Projections reflect job expertise, not assignment. As a result, “</w:t>
      </w:r>
      <w:r w:rsidR="00723F4D" w:rsidRPr="00C64973">
        <w:rPr>
          <w:sz w:val="20"/>
        </w:rPr>
        <w:t>TVI</w:t>
      </w:r>
      <w:r w:rsidRPr="00C64973">
        <w:rPr>
          <w:sz w:val="20"/>
        </w:rPr>
        <w:t>s” and “</w:t>
      </w:r>
      <w:r w:rsidR="00D574E5">
        <w:rPr>
          <w:sz w:val="20"/>
        </w:rPr>
        <w:t>COMS</w:t>
      </w:r>
      <w:r w:rsidRPr="00C64973">
        <w:rPr>
          <w:sz w:val="20"/>
        </w:rPr>
        <w:t xml:space="preserve">” include data for dually certified staff in both categories and </w:t>
      </w:r>
      <w:r w:rsidRPr="00C64973">
        <w:rPr>
          <w:sz w:val="20"/>
          <w:u w:val="single"/>
        </w:rPr>
        <w:t>cannot be totaled</w:t>
      </w:r>
      <w:r w:rsidRPr="00C64973">
        <w:rPr>
          <w:sz w:val="20"/>
        </w:rPr>
        <w:t>. “Overall” includes all VI professionals and is adjusted for dually certified VI professionals.</w:t>
      </w:r>
    </w:p>
    <w:p w14:paraId="0951E4F2" w14:textId="09035DC4" w:rsidR="005D59E9" w:rsidRPr="00C64973" w:rsidRDefault="008E57A9" w:rsidP="00E164D0">
      <w:pPr>
        <w:spacing w:line="288" w:lineRule="auto"/>
      </w:pPr>
      <w:r w:rsidRPr="00C64973">
        <w:t>Both the projected short-term and longer-term need</w:t>
      </w:r>
      <w:r w:rsidR="00CB0E14" w:rsidRPr="00C64973">
        <w:t xml:space="preserve"> for VI professionals</w:t>
      </w:r>
      <w:r w:rsidRPr="00C64973">
        <w:t xml:space="preserve"> </w:t>
      </w:r>
      <w:r w:rsidR="00B96A29" w:rsidRPr="00C64973">
        <w:t xml:space="preserve">increased significantly in 2019. </w:t>
      </w:r>
      <w:r w:rsidR="003C61C6" w:rsidRPr="00C64973">
        <w:t>This yea</w:t>
      </w:r>
      <w:r w:rsidR="00B96A29" w:rsidRPr="00C64973">
        <w:t xml:space="preserve">r, totals decreased a bit </w:t>
      </w:r>
      <w:r w:rsidR="003C61C6" w:rsidRPr="00C64973">
        <w:t xml:space="preserve">with </w:t>
      </w:r>
      <w:r w:rsidR="00644582" w:rsidRPr="00C64973">
        <w:t xml:space="preserve">ESCs </w:t>
      </w:r>
      <w:r w:rsidR="003C61C6" w:rsidRPr="00C64973">
        <w:t>projecting a need for</w:t>
      </w:r>
      <w:r w:rsidR="00B96A29" w:rsidRPr="00C64973">
        <w:t xml:space="preserve"> 128 </w:t>
      </w:r>
      <w:r w:rsidR="006D6B1D" w:rsidRPr="00C64973">
        <w:t>VI professionals within</w:t>
      </w:r>
      <w:r w:rsidR="00650047" w:rsidRPr="00C64973">
        <w:t xml:space="preserve"> </w:t>
      </w:r>
      <w:r w:rsidR="00644582" w:rsidRPr="00C64973">
        <w:t>one</w:t>
      </w:r>
      <w:r w:rsidR="00B96A29" w:rsidRPr="00C64973">
        <w:t xml:space="preserve"> to two years and 211</w:t>
      </w:r>
      <w:r w:rsidR="003C61C6" w:rsidRPr="00C64973">
        <w:t xml:space="preserve"> </w:t>
      </w:r>
      <w:r w:rsidR="005D59E9" w:rsidRPr="00C64973">
        <w:t>within the next three years.</w:t>
      </w:r>
      <w:r w:rsidR="00650047" w:rsidRPr="00C64973">
        <w:t xml:space="preserve"> I</w:t>
      </w:r>
      <w:r w:rsidR="00CB0E14" w:rsidRPr="00C64973">
        <w:t>t should be noted that the projected longer-term need of</w:t>
      </w:r>
      <w:r w:rsidR="00650047" w:rsidRPr="00C64973">
        <w:t xml:space="preserve"> </w:t>
      </w:r>
      <w:r w:rsidR="00CB0E14" w:rsidRPr="00C64973">
        <w:t xml:space="preserve">87 </w:t>
      </w:r>
      <w:r w:rsidR="00650047" w:rsidRPr="00C64973">
        <w:t>COM</w:t>
      </w:r>
      <w:r w:rsidR="00817016" w:rsidRPr="00C64973">
        <w:t>S</w:t>
      </w:r>
      <w:r w:rsidR="00650047" w:rsidRPr="00C64973">
        <w:t xml:space="preserve"> is the</w:t>
      </w:r>
      <w:r w:rsidR="00817016" w:rsidRPr="00C64973">
        <w:t xml:space="preserve"> second-</w:t>
      </w:r>
      <w:r w:rsidR="00CB0E14" w:rsidRPr="00C64973">
        <w:t>highest total on record; second to projections made in</w:t>
      </w:r>
      <w:r w:rsidR="00E164D0" w:rsidRPr="00C64973">
        <w:t xml:space="preserve"> 2014 (94) </w:t>
      </w:r>
      <w:r w:rsidR="00CB0E14" w:rsidRPr="00C64973">
        <w:t xml:space="preserve">when </w:t>
      </w:r>
      <w:r w:rsidR="00650047" w:rsidRPr="00C64973">
        <w:t>ESC</w:t>
      </w:r>
      <w:r w:rsidR="00E164D0" w:rsidRPr="00C64973">
        <w:t>s were likely considering TEC 30.002, a new</w:t>
      </w:r>
      <w:r w:rsidR="0013095C" w:rsidRPr="00C64973">
        <w:t>ly enacted</w:t>
      </w:r>
      <w:r w:rsidR="00E164D0" w:rsidRPr="00C64973">
        <w:t xml:space="preserve"> state law requiring that initial evaluations of students with visual impairments include an O&amp;M evaluation.</w:t>
      </w:r>
    </w:p>
    <w:p w14:paraId="73E06B6F" w14:textId="4EBB1246" w:rsidR="00BA43CE" w:rsidRPr="00C64973" w:rsidRDefault="00F03387" w:rsidP="005D59E9">
      <w:pPr>
        <w:spacing w:line="288" w:lineRule="auto"/>
      </w:pPr>
      <w:r w:rsidRPr="00C64973">
        <w:t>The ESCs</w:t>
      </w:r>
      <w:r w:rsidR="00443716" w:rsidRPr="00C64973">
        <w:t>’</w:t>
      </w:r>
      <w:r w:rsidRPr="00C64973">
        <w:t xml:space="preserve"> long-</w:t>
      </w:r>
      <w:r w:rsidR="00B96A29" w:rsidRPr="00C64973">
        <w:t>term need estimation peaked last</w:t>
      </w:r>
      <w:r w:rsidRPr="00C64973">
        <w:t xml:space="preserve"> year</w:t>
      </w:r>
      <w:r w:rsidR="00B96A29" w:rsidRPr="00C64973">
        <w:t xml:space="preserve"> with totals </w:t>
      </w:r>
      <w:r w:rsidR="00C53E99" w:rsidRPr="00C64973">
        <w:t>equaling</w:t>
      </w:r>
      <w:r w:rsidR="00B96A29" w:rsidRPr="00C64973">
        <w:t xml:space="preserve"> the highest on record. Given the anticipated student growth, it is good to see that projections by the ESCs did not </w:t>
      </w:r>
      <w:r w:rsidR="0013095C" w:rsidRPr="00C64973">
        <w:t xml:space="preserve">change significantly in 2020. </w:t>
      </w:r>
    </w:p>
    <w:p w14:paraId="67E738BB" w14:textId="239B55E1" w:rsidR="00BA43CE" w:rsidRPr="00C64973" w:rsidRDefault="00BA43CE" w:rsidP="00BA43CE">
      <w:pPr>
        <w:pStyle w:val="Heading2"/>
      </w:pPr>
      <w:bookmarkStart w:id="114" w:name="_Toc408835461"/>
      <w:bookmarkStart w:id="115" w:name="_Toc61607313"/>
      <w:r w:rsidRPr="00C64973">
        <w:t>Discussion of projected need and teachers</w:t>
      </w:r>
      <w:r w:rsidR="00FA79F9" w:rsidRPr="00C64973">
        <w:t xml:space="preserve"> of students with visual impairments</w:t>
      </w:r>
      <w:r w:rsidRPr="00C64973">
        <w:t xml:space="preserve"> (</w:t>
      </w:r>
      <w:r w:rsidR="00723F4D" w:rsidRPr="00C64973">
        <w:t>TVI</w:t>
      </w:r>
      <w:r w:rsidRPr="00C64973">
        <w:t>s)</w:t>
      </w:r>
      <w:bookmarkEnd w:id="114"/>
      <w:bookmarkEnd w:id="115"/>
    </w:p>
    <w:p w14:paraId="3BAFAD95" w14:textId="2F895C83" w:rsidR="002603BB" w:rsidRPr="00C64973" w:rsidRDefault="00B01A17" w:rsidP="00C35842">
      <w:pPr>
        <w:rPr>
          <w:b/>
          <w:i/>
        </w:rPr>
      </w:pPr>
      <w:r w:rsidRPr="00C64973">
        <w:rPr>
          <w:b/>
          <w:i/>
        </w:rPr>
        <w:t>Texas is projected to need</w:t>
      </w:r>
      <w:r w:rsidRPr="00C64973" w:rsidDel="00B01A17">
        <w:rPr>
          <w:b/>
          <w:i/>
        </w:rPr>
        <w:t xml:space="preserve"> </w:t>
      </w:r>
      <w:r w:rsidR="00C53E99" w:rsidRPr="00C64973">
        <w:rPr>
          <w:b/>
          <w:i/>
        </w:rPr>
        <w:t>between 157 and 171</w:t>
      </w:r>
      <w:r w:rsidR="002603BB" w:rsidRPr="00C64973">
        <w:rPr>
          <w:b/>
          <w:i/>
        </w:rPr>
        <w:t xml:space="preserve"> TVIs in the next 3 years to accommodate </w:t>
      </w:r>
      <w:r w:rsidR="007045F2" w:rsidRPr="00C64973">
        <w:rPr>
          <w:b/>
          <w:i/>
        </w:rPr>
        <w:t xml:space="preserve">both </w:t>
      </w:r>
      <w:r w:rsidR="002603BB" w:rsidRPr="00C64973">
        <w:rPr>
          <w:b/>
          <w:i/>
        </w:rPr>
        <w:t>attrition and student growth.</w:t>
      </w:r>
    </w:p>
    <w:p w14:paraId="1B9BB19F" w14:textId="685758F0" w:rsidR="00BA43CE" w:rsidRPr="00C64973" w:rsidRDefault="00BA43CE" w:rsidP="00C35842">
      <w:r w:rsidRPr="00C64973">
        <w:rPr>
          <w:rFonts w:cs="Calibri"/>
        </w:rPr>
        <w:t xml:space="preserve">As discussed in the Growth of Students with Visual Impairments and Impact on VI Professionals </w:t>
      </w:r>
      <w:r w:rsidR="00E457C3" w:rsidRPr="00C64973">
        <w:rPr>
          <w:rFonts w:cs="Calibri"/>
        </w:rPr>
        <w:t>(page</w:t>
      </w:r>
      <w:r w:rsidR="00AA46DE" w:rsidRPr="00C64973">
        <w:rPr>
          <w:rFonts w:cs="Calibri"/>
        </w:rPr>
        <w:t xml:space="preserve">s </w:t>
      </w:r>
      <w:r w:rsidR="002B6BC5" w:rsidRPr="00C64973">
        <w:rPr>
          <w:rFonts w:cs="Calibri"/>
        </w:rPr>
        <w:t>14-15</w:t>
      </w:r>
      <w:r w:rsidRPr="00C64973">
        <w:rPr>
          <w:rFonts w:cs="Calibri"/>
        </w:rPr>
        <w:t>), Texas</w:t>
      </w:r>
      <w:r w:rsidR="00C35842" w:rsidRPr="00C64973">
        <w:rPr>
          <w:rFonts w:cs="Calibri"/>
        </w:rPr>
        <w:t xml:space="preserve"> will need betwe</w:t>
      </w:r>
      <w:r w:rsidR="00BF4B6F" w:rsidRPr="00C64973">
        <w:rPr>
          <w:rFonts w:cs="Calibri"/>
        </w:rPr>
        <w:t xml:space="preserve">en </w:t>
      </w:r>
      <w:r w:rsidR="008F2240" w:rsidRPr="00C64973">
        <w:rPr>
          <w:rFonts w:cs="Calibri"/>
        </w:rPr>
        <w:t>57 and 71</w:t>
      </w:r>
      <w:r w:rsidR="00A854DC">
        <w:rPr>
          <w:rFonts w:cs="Calibri"/>
        </w:rPr>
        <w:t xml:space="preserve"> additional</w:t>
      </w:r>
      <w:r w:rsidRPr="00C64973">
        <w:rPr>
          <w:rFonts w:cs="Calibri"/>
        </w:rPr>
        <w:t xml:space="preserve"> </w:t>
      </w:r>
      <w:r w:rsidR="00723F4D" w:rsidRPr="00C64973">
        <w:rPr>
          <w:rFonts w:cs="Calibri"/>
        </w:rPr>
        <w:t>TVI</w:t>
      </w:r>
      <w:r w:rsidRPr="00C64973">
        <w:rPr>
          <w:rFonts w:cs="Calibri"/>
        </w:rPr>
        <w:t>s to meet the anticipated growth in the number of students with visual impairments.</w:t>
      </w:r>
    </w:p>
    <w:p w14:paraId="3EF9DB6E" w14:textId="7AE872E3" w:rsidR="00BA43CE" w:rsidRPr="00C64973" w:rsidRDefault="00BA43CE" w:rsidP="00BA43CE">
      <w:pPr>
        <w:spacing w:line="288" w:lineRule="auto"/>
        <w:rPr>
          <w:rFonts w:cs="Calibri"/>
        </w:rPr>
      </w:pPr>
      <w:r w:rsidRPr="00C64973">
        <w:rPr>
          <w:rFonts w:cs="Calibri"/>
        </w:rPr>
        <w:t xml:space="preserve">In addition to meeting the needs related </w:t>
      </w:r>
      <w:r w:rsidR="00C35842" w:rsidRPr="00C64973">
        <w:rPr>
          <w:rFonts w:cs="Calibri"/>
        </w:rPr>
        <w:t xml:space="preserve">to </w:t>
      </w:r>
      <w:r w:rsidRPr="00C64973">
        <w:rPr>
          <w:rFonts w:cs="Calibri"/>
        </w:rPr>
        <w:t xml:space="preserve">expected demographic increases, Texas will need to replace </w:t>
      </w:r>
      <w:r w:rsidR="00723F4D" w:rsidRPr="00C64973">
        <w:rPr>
          <w:rFonts w:cs="Calibri"/>
        </w:rPr>
        <w:t>TVI</w:t>
      </w:r>
      <w:r w:rsidRPr="00C64973">
        <w:rPr>
          <w:rFonts w:cs="Calibri"/>
        </w:rPr>
        <w:t>s who leave the field</w:t>
      </w:r>
      <w:r w:rsidR="00EB69D0" w:rsidRPr="00C64973">
        <w:rPr>
          <w:rFonts w:cs="Calibri"/>
        </w:rPr>
        <w:t>. It is projected</w:t>
      </w:r>
      <w:r w:rsidR="00012E87" w:rsidRPr="00C64973">
        <w:rPr>
          <w:rFonts w:cs="Calibri"/>
        </w:rPr>
        <w:t xml:space="preserve"> that 100</w:t>
      </w:r>
      <w:r w:rsidRPr="00C64973">
        <w:rPr>
          <w:rFonts w:cs="Calibri"/>
        </w:rPr>
        <w:t xml:space="preserve"> individuals with VI expertise (</w:t>
      </w:r>
      <w:r w:rsidR="00723F4D" w:rsidRPr="00C64973">
        <w:rPr>
          <w:rFonts w:cs="Calibri"/>
        </w:rPr>
        <w:t>TVI</w:t>
      </w:r>
      <w:r w:rsidRPr="00C64973">
        <w:rPr>
          <w:rFonts w:cs="Calibri"/>
        </w:rPr>
        <w:t>s and dually certified professionals) wi</w:t>
      </w:r>
      <w:r w:rsidR="00DA490C" w:rsidRPr="00C64973">
        <w:rPr>
          <w:rFonts w:cs="Calibri"/>
        </w:rPr>
        <w:t xml:space="preserve">ll leave the field prior to </w:t>
      </w:r>
      <w:r w:rsidR="00012E87" w:rsidRPr="00C64973">
        <w:rPr>
          <w:rFonts w:cs="Calibri"/>
        </w:rPr>
        <w:t>2023</w:t>
      </w:r>
      <w:r w:rsidRPr="00C64973">
        <w:rPr>
          <w:rFonts w:cs="Calibri"/>
        </w:rPr>
        <w:t xml:space="preserve">. </w:t>
      </w:r>
      <w:r w:rsidR="002D5CFE" w:rsidRPr="00C64973">
        <w:rPr>
          <w:rFonts w:cs="Calibri"/>
        </w:rPr>
        <w:t xml:space="preserve">Although ESC consultants </w:t>
      </w:r>
      <w:r w:rsidR="0021174D" w:rsidRPr="00C64973">
        <w:rPr>
          <w:rFonts w:cs="Calibri"/>
        </w:rPr>
        <w:t xml:space="preserve">have </w:t>
      </w:r>
      <w:r w:rsidR="00012E87" w:rsidRPr="00C64973">
        <w:rPr>
          <w:rFonts w:cs="Calibri"/>
        </w:rPr>
        <w:t xml:space="preserve">at times </w:t>
      </w:r>
      <w:r w:rsidR="0021174D" w:rsidRPr="00C64973">
        <w:rPr>
          <w:rFonts w:cs="Calibri"/>
        </w:rPr>
        <w:t>projected clo</w:t>
      </w:r>
      <w:r w:rsidR="00012E87" w:rsidRPr="00C64973">
        <w:rPr>
          <w:rFonts w:cs="Calibri"/>
        </w:rPr>
        <w:t xml:space="preserve">ser to actual numbers, </w:t>
      </w:r>
      <w:r w:rsidRPr="00C64973">
        <w:rPr>
          <w:rFonts w:cs="Calibri"/>
        </w:rPr>
        <w:t xml:space="preserve">the </w:t>
      </w:r>
      <w:r w:rsidR="00012E87" w:rsidRPr="00C64973">
        <w:rPr>
          <w:rFonts w:cs="Calibri"/>
        </w:rPr>
        <w:t xml:space="preserve">average </w:t>
      </w:r>
      <w:r w:rsidRPr="00C64973">
        <w:rPr>
          <w:rFonts w:cs="Calibri"/>
        </w:rPr>
        <w:t xml:space="preserve">3-year attrition ratios for those with VI </w:t>
      </w:r>
      <w:r w:rsidR="00482D69" w:rsidRPr="00C64973">
        <w:rPr>
          <w:rFonts w:cs="Calibri"/>
        </w:rPr>
        <w:t>expertise have e</w:t>
      </w:r>
      <w:r w:rsidR="002D5CFE" w:rsidRPr="00C64973">
        <w:rPr>
          <w:rFonts w:cs="Calibri"/>
        </w:rPr>
        <w:t>xceed</w:t>
      </w:r>
      <w:r w:rsidR="00482D69" w:rsidRPr="00C64973">
        <w:rPr>
          <w:rFonts w:cs="Calibri"/>
        </w:rPr>
        <w:t>ed</w:t>
      </w:r>
      <w:r w:rsidR="00012E87" w:rsidRPr="00C64973">
        <w:rPr>
          <w:rFonts w:cs="Calibri"/>
        </w:rPr>
        <w:t xml:space="preserve"> projections up to almost 19 percent</w:t>
      </w:r>
      <w:r w:rsidR="002D5CFE" w:rsidRPr="00C64973">
        <w:rPr>
          <w:rFonts w:cs="Calibri"/>
        </w:rPr>
        <w:t xml:space="preserve">. Therefore, </w:t>
      </w:r>
      <w:r w:rsidR="0021174D" w:rsidRPr="00C64973">
        <w:rPr>
          <w:rFonts w:cs="Calibri"/>
        </w:rPr>
        <w:t xml:space="preserve">it is possible that </w:t>
      </w:r>
      <w:r w:rsidRPr="00C64973">
        <w:rPr>
          <w:rFonts w:cs="Calibri"/>
        </w:rPr>
        <w:t>a</w:t>
      </w:r>
      <w:r w:rsidR="000C432A" w:rsidRPr="00C64973">
        <w:rPr>
          <w:rFonts w:cs="Calibri"/>
        </w:rPr>
        <w:t xml:space="preserve">ttrition could be closer to </w:t>
      </w:r>
      <w:r w:rsidR="008F2240" w:rsidRPr="00C64973">
        <w:rPr>
          <w:rFonts w:cs="Calibri"/>
        </w:rPr>
        <w:t>119</w:t>
      </w:r>
      <w:r w:rsidR="00AD6678" w:rsidRPr="00C64973">
        <w:rPr>
          <w:rFonts w:cs="Calibri"/>
        </w:rPr>
        <w:t xml:space="preserve"> </w:t>
      </w:r>
      <w:r w:rsidRPr="00C64973">
        <w:rPr>
          <w:rFonts w:cs="Calibri"/>
        </w:rPr>
        <w:t xml:space="preserve">full- and part-time individuals certified </w:t>
      </w:r>
      <w:r w:rsidR="0047265F">
        <w:rPr>
          <w:rFonts w:cs="Calibri"/>
        </w:rPr>
        <w:t>as TVIs</w:t>
      </w:r>
      <w:r w:rsidRPr="00C64973">
        <w:rPr>
          <w:rFonts w:cs="Calibri"/>
        </w:rPr>
        <w:t>.</w:t>
      </w:r>
    </w:p>
    <w:p w14:paraId="465C0FE6" w14:textId="0C05CE02" w:rsidR="007D0F82" w:rsidRPr="00C64973" w:rsidRDefault="00BA43CE" w:rsidP="009329E4">
      <w:pPr>
        <w:spacing w:line="288" w:lineRule="auto"/>
      </w:pPr>
      <w:r w:rsidRPr="00C64973">
        <w:t xml:space="preserve">Combining projected growth and attrition, </w:t>
      </w:r>
      <w:r w:rsidR="00594D07" w:rsidRPr="00C64973">
        <w:t xml:space="preserve">Texas will need between </w:t>
      </w:r>
      <w:r w:rsidR="008F2240" w:rsidRPr="00C64973">
        <w:t>157</w:t>
      </w:r>
      <w:r w:rsidR="00B700B1" w:rsidRPr="00C64973">
        <w:t xml:space="preserve"> and</w:t>
      </w:r>
      <w:r w:rsidR="00836277" w:rsidRPr="00C64973">
        <w:t xml:space="preserve"> </w:t>
      </w:r>
      <w:r w:rsidR="008F2240" w:rsidRPr="00C64973">
        <w:t>171</w:t>
      </w:r>
      <w:r w:rsidR="00A854DC">
        <w:t xml:space="preserve"> new</w:t>
      </w:r>
      <w:r w:rsidR="00A4765C" w:rsidRPr="00C64973">
        <w:t xml:space="preserve"> </w:t>
      </w:r>
      <w:r w:rsidR="00FA79F9" w:rsidRPr="00C64973">
        <w:t xml:space="preserve">teachers of students with </w:t>
      </w:r>
      <w:r w:rsidRPr="00C64973">
        <w:t>visual impairments in the next 3 years to replace those who are likely to leave and respond to anticipated gro</w:t>
      </w:r>
      <w:r w:rsidR="001B37B5" w:rsidRPr="00C64973">
        <w:t xml:space="preserve">wth. </w:t>
      </w:r>
      <w:r w:rsidR="00A4765C" w:rsidRPr="00C64973">
        <w:t xml:space="preserve">The </w:t>
      </w:r>
      <w:r w:rsidR="00774293" w:rsidRPr="00C64973">
        <w:t xml:space="preserve">ESC </w:t>
      </w:r>
      <w:r w:rsidR="00042281" w:rsidRPr="00C64973">
        <w:t>projection of 159</w:t>
      </w:r>
      <w:r w:rsidR="00A4765C" w:rsidRPr="00C64973">
        <w:t xml:space="preserve"> </w:t>
      </w:r>
      <w:r w:rsidR="00723F4D" w:rsidRPr="00C64973">
        <w:t>TVI</w:t>
      </w:r>
      <w:r w:rsidR="00F62148" w:rsidRPr="00C64973">
        <w:t xml:space="preserve">s </w:t>
      </w:r>
      <w:r w:rsidR="002D1F7E" w:rsidRPr="00C64973">
        <w:t xml:space="preserve">needed in that time period </w:t>
      </w:r>
      <w:r w:rsidR="00F62148" w:rsidRPr="00C64973">
        <w:t>falls</w:t>
      </w:r>
      <w:r w:rsidR="0021174D" w:rsidRPr="00C64973">
        <w:t xml:space="preserve"> </w:t>
      </w:r>
      <w:r w:rsidR="00042281" w:rsidRPr="00C64973">
        <w:t>within</w:t>
      </w:r>
      <w:r w:rsidR="00A4765C" w:rsidRPr="00C64973">
        <w:t xml:space="preserve"> t</w:t>
      </w:r>
      <w:r w:rsidR="00042281" w:rsidRPr="00C64973">
        <w:t>he lower end of t</w:t>
      </w:r>
      <w:r w:rsidR="00F62148" w:rsidRPr="00C64973">
        <w:t>his range</w:t>
      </w:r>
      <w:r w:rsidR="00042281" w:rsidRPr="00C64973">
        <w:t xml:space="preserve">. </w:t>
      </w:r>
    </w:p>
    <w:p w14:paraId="2789D1F9" w14:textId="66D53B1F" w:rsidR="00594D07" w:rsidRPr="00C64973" w:rsidRDefault="00544F62" w:rsidP="00594D07">
      <w:pPr>
        <w:pStyle w:val="Heading3"/>
      </w:pPr>
      <w:r w:rsidRPr="00C64973">
        <w:t>Table 13</w:t>
      </w:r>
      <w:r w:rsidR="00594D07" w:rsidRPr="00C64973">
        <w:t xml:space="preserve">: </w:t>
      </w:r>
      <w:r w:rsidR="002D26CF" w:rsidRPr="00C64973">
        <w:t xml:space="preserve">Projected Need and </w:t>
      </w:r>
      <w:r w:rsidR="00723F4D" w:rsidRPr="00C64973">
        <w:t>TVI</w:t>
      </w:r>
      <w:r w:rsidR="002D26CF" w:rsidRPr="00C64973">
        <w:t>s</w:t>
      </w: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8"/>
        <w:gridCol w:w="1427"/>
      </w:tblGrid>
      <w:tr w:rsidR="002D26CF" w:rsidRPr="00C64973" w14:paraId="3BC0CB15" w14:textId="21155DB0" w:rsidTr="008F2240">
        <w:trPr>
          <w:trHeight w:val="390"/>
        </w:trPr>
        <w:tc>
          <w:tcPr>
            <w:tcW w:w="5768" w:type="dxa"/>
            <w:shd w:val="clear" w:color="auto" w:fill="auto"/>
          </w:tcPr>
          <w:p w14:paraId="6727BF7E" w14:textId="3C5C3DC9" w:rsidR="002D26CF" w:rsidRPr="00C64973" w:rsidRDefault="002D26CF" w:rsidP="000A1898">
            <w:pPr>
              <w:spacing w:after="0" w:line="288" w:lineRule="auto"/>
              <w:rPr>
                <w:szCs w:val="22"/>
              </w:rPr>
            </w:pPr>
            <w:r w:rsidRPr="00C64973">
              <w:rPr>
                <w:szCs w:val="22"/>
              </w:rPr>
              <w:t xml:space="preserve">Number of </w:t>
            </w:r>
            <w:r w:rsidR="00723F4D" w:rsidRPr="00C64973">
              <w:rPr>
                <w:szCs w:val="22"/>
              </w:rPr>
              <w:t>TVI</w:t>
            </w:r>
            <w:r w:rsidRPr="00C64973">
              <w:rPr>
                <w:szCs w:val="22"/>
              </w:rPr>
              <w:t>s needed to meet student growth</w:t>
            </w:r>
          </w:p>
        </w:tc>
        <w:tc>
          <w:tcPr>
            <w:tcW w:w="1427" w:type="dxa"/>
            <w:shd w:val="clear" w:color="auto" w:fill="auto"/>
          </w:tcPr>
          <w:p w14:paraId="7AEA3BAE" w14:textId="37DB286A" w:rsidR="002D26CF" w:rsidRPr="00C64973" w:rsidRDefault="008F2240" w:rsidP="000A1898">
            <w:pPr>
              <w:pStyle w:val="Heading4"/>
              <w:spacing w:after="0"/>
              <w:jc w:val="center"/>
              <w:rPr>
                <w:rFonts w:ascii="Arial" w:hAnsi="Arial" w:cs="Arial"/>
                <w:b w:val="0"/>
                <w:sz w:val="24"/>
                <w:szCs w:val="24"/>
              </w:rPr>
            </w:pPr>
            <w:r w:rsidRPr="00C64973">
              <w:rPr>
                <w:rFonts w:ascii="Arial" w:hAnsi="Arial" w:cs="Arial"/>
                <w:b w:val="0"/>
                <w:sz w:val="24"/>
                <w:szCs w:val="24"/>
              </w:rPr>
              <w:t>57 - 71</w:t>
            </w:r>
          </w:p>
        </w:tc>
      </w:tr>
      <w:tr w:rsidR="002D26CF" w:rsidRPr="00C64973" w14:paraId="0175ED2B" w14:textId="6C6F280D" w:rsidTr="002D26CF">
        <w:trPr>
          <w:trHeight w:val="624"/>
        </w:trPr>
        <w:tc>
          <w:tcPr>
            <w:tcW w:w="5768" w:type="dxa"/>
          </w:tcPr>
          <w:p w14:paraId="3B573397" w14:textId="592BDC52" w:rsidR="002D26CF" w:rsidRPr="00C64973" w:rsidRDefault="002D26CF" w:rsidP="000A1898">
            <w:pPr>
              <w:spacing w:before="240" w:after="0" w:line="288" w:lineRule="auto"/>
              <w:rPr>
                <w:rFonts w:eastAsia="MS Mincho"/>
                <w:iCs/>
                <w:szCs w:val="22"/>
              </w:rPr>
            </w:pPr>
            <w:r w:rsidRPr="00C64973">
              <w:rPr>
                <w:rFonts w:eastAsia="MS Mincho"/>
                <w:iCs/>
                <w:szCs w:val="22"/>
              </w:rPr>
              <w:t xml:space="preserve">Number of </w:t>
            </w:r>
            <w:r w:rsidR="00723F4D" w:rsidRPr="00C64973">
              <w:rPr>
                <w:rFonts w:eastAsia="MS Mincho"/>
                <w:iCs/>
                <w:szCs w:val="22"/>
              </w:rPr>
              <w:t>TVI</w:t>
            </w:r>
            <w:r w:rsidRPr="00C64973">
              <w:rPr>
                <w:rFonts w:eastAsia="MS Mincho"/>
                <w:iCs/>
                <w:szCs w:val="22"/>
              </w:rPr>
              <w:t>s needed due to attrition</w:t>
            </w:r>
          </w:p>
        </w:tc>
        <w:tc>
          <w:tcPr>
            <w:tcW w:w="1427" w:type="dxa"/>
          </w:tcPr>
          <w:p w14:paraId="1B62F93B" w14:textId="05BAC1FA" w:rsidR="002D26CF" w:rsidRPr="00C64973" w:rsidRDefault="008F2240" w:rsidP="000A1898">
            <w:pPr>
              <w:spacing w:before="240" w:after="0" w:line="288" w:lineRule="auto"/>
              <w:jc w:val="center"/>
              <w:rPr>
                <w:szCs w:val="22"/>
              </w:rPr>
            </w:pPr>
            <w:r w:rsidRPr="00C64973">
              <w:rPr>
                <w:szCs w:val="22"/>
              </w:rPr>
              <w:t>100</w:t>
            </w:r>
          </w:p>
        </w:tc>
      </w:tr>
      <w:tr w:rsidR="002D26CF" w:rsidRPr="00C64973" w14:paraId="1D4D40A9" w14:textId="77777777" w:rsidTr="002D26CF">
        <w:trPr>
          <w:trHeight w:val="624"/>
        </w:trPr>
        <w:tc>
          <w:tcPr>
            <w:tcW w:w="5768" w:type="dxa"/>
          </w:tcPr>
          <w:p w14:paraId="218996C7" w14:textId="58B362E1" w:rsidR="002D26CF" w:rsidRPr="00C64973" w:rsidRDefault="001B37B5" w:rsidP="000A1898">
            <w:pPr>
              <w:spacing w:before="240" w:after="0" w:line="288" w:lineRule="auto"/>
              <w:rPr>
                <w:rFonts w:eastAsia="MS Mincho"/>
                <w:b/>
                <w:iCs/>
                <w:szCs w:val="22"/>
              </w:rPr>
            </w:pPr>
            <w:r w:rsidRPr="00C64973">
              <w:rPr>
                <w:rFonts w:eastAsia="MS Mincho"/>
                <w:b/>
                <w:iCs/>
                <w:szCs w:val="22"/>
              </w:rPr>
              <w:t>Total FTE needed by 20</w:t>
            </w:r>
            <w:r w:rsidR="00BD20EB" w:rsidRPr="00C64973">
              <w:rPr>
                <w:rFonts w:eastAsia="MS Mincho"/>
                <w:b/>
                <w:iCs/>
                <w:szCs w:val="22"/>
              </w:rPr>
              <w:t>23</w:t>
            </w:r>
          </w:p>
        </w:tc>
        <w:tc>
          <w:tcPr>
            <w:tcW w:w="1427" w:type="dxa"/>
          </w:tcPr>
          <w:p w14:paraId="366A0BA3" w14:textId="2909AFAA" w:rsidR="002D26CF" w:rsidRPr="00C64973" w:rsidRDefault="008F2240" w:rsidP="000A1898">
            <w:pPr>
              <w:spacing w:before="240" w:after="0" w:line="288" w:lineRule="auto"/>
              <w:jc w:val="center"/>
              <w:rPr>
                <w:b/>
                <w:szCs w:val="22"/>
              </w:rPr>
            </w:pPr>
            <w:r w:rsidRPr="00C64973">
              <w:rPr>
                <w:b/>
                <w:szCs w:val="22"/>
              </w:rPr>
              <w:t>157 - 171</w:t>
            </w:r>
          </w:p>
        </w:tc>
      </w:tr>
    </w:tbl>
    <w:p w14:paraId="7ED1F014" w14:textId="77777777" w:rsidR="00834687" w:rsidRPr="00C64973" w:rsidRDefault="00834687" w:rsidP="00834687"/>
    <w:p w14:paraId="0C731003" w14:textId="77777777" w:rsidR="00594D07" w:rsidRPr="00C64973" w:rsidRDefault="00594D07" w:rsidP="00BA43CE">
      <w:pPr>
        <w:spacing w:line="288" w:lineRule="auto"/>
      </w:pPr>
    </w:p>
    <w:p w14:paraId="73C71953" w14:textId="77777777" w:rsidR="00B83DB7" w:rsidRPr="00C64973" w:rsidRDefault="00B83DB7" w:rsidP="00BA43CE">
      <w:pPr>
        <w:spacing w:line="288" w:lineRule="auto"/>
      </w:pPr>
    </w:p>
    <w:p w14:paraId="54DACC43" w14:textId="16B5E358" w:rsidR="007D0F82" w:rsidRPr="00C64973" w:rsidRDefault="007D0F82" w:rsidP="00BA43CE">
      <w:pPr>
        <w:spacing w:line="288" w:lineRule="auto"/>
      </w:pPr>
    </w:p>
    <w:p w14:paraId="5A21058A" w14:textId="282A50FE" w:rsidR="00FE6559" w:rsidRPr="00C64973" w:rsidRDefault="00CF5682" w:rsidP="00BA43CE">
      <w:pPr>
        <w:spacing w:line="288" w:lineRule="auto"/>
      </w:pPr>
      <w:r w:rsidRPr="00C64973">
        <w:t>In</w:t>
      </w:r>
      <w:r w:rsidR="003C3770" w:rsidRPr="00C64973">
        <w:t xml:space="preserve"> the Fall of</w:t>
      </w:r>
      <w:r w:rsidR="00042281" w:rsidRPr="00C64973">
        <w:t xml:space="preserve"> 2020, 112</w:t>
      </w:r>
      <w:r w:rsidR="00E23769" w:rsidRPr="00C64973">
        <w:t xml:space="preserve"> </w:t>
      </w:r>
      <w:r w:rsidR="00BA43CE" w:rsidRPr="00C64973">
        <w:t>people were seeking VI certification</w:t>
      </w:r>
      <w:r w:rsidR="000710E7" w:rsidRPr="00C64973">
        <w:t xml:space="preserve"> through a university program in Texas</w:t>
      </w:r>
      <w:r w:rsidR="00BA43CE" w:rsidRPr="00C64973">
        <w:t xml:space="preserve">. </w:t>
      </w:r>
      <w:r w:rsidR="00042281" w:rsidRPr="00C64973">
        <w:t>Thirty-six</w:t>
      </w:r>
      <w:r w:rsidR="000710E7" w:rsidRPr="00C64973">
        <w:t xml:space="preserve"> were</w:t>
      </w:r>
      <w:r w:rsidR="0043206B" w:rsidRPr="00C64973">
        <w:t xml:space="preserve"> working under an </w:t>
      </w:r>
      <w:r w:rsidR="00B83DB7" w:rsidRPr="00C64973">
        <w:t xml:space="preserve">emergency permit. Consequently, </w:t>
      </w:r>
      <w:r w:rsidR="00A803DE" w:rsidRPr="00C64973">
        <w:t>t</w:t>
      </w:r>
      <w:r w:rsidR="00BA43CE" w:rsidRPr="00C64973">
        <w:t xml:space="preserve">hese </w:t>
      </w:r>
      <w:r w:rsidR="00723F4D" w:rsidRPr="00C64973">
        <w:t>TVI</w:t>
      </w:r>
      <w:r w:rsidR="00BA43CE" w:rsidRPr="00C64973">
        <w:t xml:space="preserve">s are already working with students and included in this count as </w:t>
      </w:r>
      <w:r w:rsidR="00723F4D" w:rsidRPr="00C64973">
        <w:t>TVI</w:t>
      </w:r>
      <w:r w:rsidR="00BA43CE" w:rsidRPr="00C64973">
        <w:t xml:space="preserve">s. </w:t>
      </w:r>
      <w:r w:rsidR="000710E7" w:rsidRPr="00C64973">
        <w:t>If the</w:t>
      </w:r>
      <w:r w:rsidR="0001639D" w:rsidRPr="00C64973">
        <w:t xml:space="preserve"> </w:t>
      </w:r>
      <w:r w:rsidR="004A4057" w:rsidRPr="00C64973">
        <w:t xml:space="preserve">university </w:t>
      </w:r>
      <w:r w:rsidR="00723F4D" w:rsidRPr="00C64973">
        <w:t>TVI</w:t>
      </w:r>
      <w:r w:rsidR="000710E7" w:rsidRPr="00C64973">
        <w:t xml:space="preserve"> program </w:t>
      </w:r>
      <w:r w:rsidR="0001639D" w:rsidRPr="00C64973">
        <w:t xml:space="preserve">completion rates </w:t>
      </w:r>
      <w:r w:rsidR="00AC69E6" w:rsidRPr="00C64973">
        <w:t>contin</w:t>
      </w:r>
      <w:r w:rsidR="004D765A" w:rsidRPr="00C64973">
        <w:t xml:space="preserve">ue to reflect the </w:t>
      </w:r>
      <w:r w:rsidR="003E1774" w:rsidRPr="00C64973">
        <w:t>3-year</w:t>
      </w:r>
      <w:r w:rsidR="00042281" w:rsidRPr="00C64973">
        <w:t xml:space="preserve"> average (2018-2020</w:t>
      </w:r>
      <w:r w:rsidR="004D765A" w:rsidRPr="00C64973">
        <w:t xml:space="preserve">) </w:t>
      </w:r>
      <w:r w:rsidR="00042281" w:rsidRPr="00C64973">
        <w:t>of 40</w:t>
      </w:r>
      <w:r w:rsidR="004D765A" w:rsidRPr="00C64973">
        <w:t xml:space="preserve"> completers</w:t>
      </w:r>
      <w:r w:rsidR="0001639D" w:rsidRPr="00C64973">
        <w:t xml:space="preserve">, </w:t>
      </w:r>
      <w:r w:rsidR="00B30299" w:rsidRPr="00C64973">
        <w:t xml:space="preserve">the number of </w:t>
      </w:r>
      <w:r w:rsidR="004A4057" w:rsidRPr="00C64973">
        <w:t xml:space="preserve">newly certified </w:t>
      </w:r>
      <w:r w:rsidR="00723F4D" w:rsidRPr="00C64973">
        <w:t>TVI</w:t>
      </w:r>
      <w:r w:rsidR="00B30299" w:rsidRPr="00C64973">
        <w:t xml:space="preserve">s </w:t>
      </w:r>
      <w:r w:rsidR="00AC69E6" w:rsidRPr="00C64973">
        <w:t>(</w:t>
      </w:r>
      <w:r w:rsidR="00C53E99" w:rsidRPr="00C64973">
        <w:t>120</w:t>
      </w:r>
      <w:r w:rsidR="004A4057" w:rsidRPr="00C64973">
        <w:t xml:space="preserve">) </w:t>
      </w:r>
      <w:r w:rsidR="00394833" w:rsidRPr="00C64973">
        <w:rPr>
          <w:b/>
          <w:i/>
        </w:rPr>
        <w:t>will</w:t>
      </w:r>
      <w:r w:rsidR="000710E7" w:rsidRPr="00C64973">
        <w:rPr>
          <w:b/>
          <w:i/>
        </w:rPr>
        <w:t xml:space="preserve"> fall </w:t>
      </w:r>
      <w:r w:rsidR="00394833" w:rsidRPr="00C64973">
        <w:rPr>
          <w:b/>
          <w:i/>
        </w:rPr>
        <w:t xml:space="preserve">well </w:t>
      </w:r>
      <w:r w:rsidR="000710E7" w:rsidRPr="00C64973">
        <w:rPr>
          <w:b/>
          <w:i/>
        </w:rPr>
        <w:t xml:space="preserve">below </w:t>
      </w:r>
      <w:r w:rsidR="00A4765C" w:rsidRPr="00C64973">
        <w:rPr>
          <w:b/>
          <w:i/>
        </w:rPr>
        <w:t>the</w:t>
      </w:r>
      <w:r w:rsidR="00C53E99" w:rsidRPr="00C64973">
        <w:rPr>
          <w:b/>
          <w:i/>
        </w:rPr>
        <w:t xml:space="preserve"> </w:t>
      </w:r>
      <w:r w:rsidR="00A4765C" w:rsidRPr="00C64973">
        <w:rPr>
          <w:b/>
          <w:i/>
        </w:rPr>
        <w:t>range of anticipated need</w:t>
      </w:r>
      <w:r w:rsidR="00A4765C" w:rsidRPr="00C64973">
        <w:t>.</w:t>
      </w:r>
      <w:r w:rsidR="00C32A57" w:rsidRPr="00C64973">
        <w:t xml:space="preserve"> </w:t>
      </w:r>
    </w:p>
    <w:p w14:paraId="691FE2EC" w14:textId="5FB1A6DF" w:rsidR="00BA43CE" w:rsidRPr="00C64973" w:rsidRDefault="00BA43CE" w:rsidP="00BA43CE">
      <w:pPr>
        <w:pStyle w:val="Heading2"/>
      </w:pPr>
      <w:bookmarkStart w:id="116" w:name="_Toc408835462"/>
      <w:bookmarkStart w:id="117" w:name="_Toc61607314"/>
      <w:r w:rsidRPr="00C64973">
        <w:t>Discussion of projected need and O&amp;M specialists</w:t>
      </w:r>
      <w:bookmarkEnd w:id="116"/>
      <w:bookmarkEnd w:id="117"/>
    </w:p>
    <w:p w14:paraId="3D5BB2EC" w14:textId="0D15C632" w:rsidR="002603BB" w:rsidRPr="00C64973" w:rsidRDefault="00B01A17" w:rsidP="002603BB">
      <w:pPr>
        <w:rPr>
          <w:b/>
          <w:i/>
        </w:rPr>
      </w:pPr>
      <w:r w:rsidRPr="00C64973">
        <w:rPr>
          <w:b/>
          <w:i/>
        </w:rPr>
        <w:t>Texas is projected to need</w:t>
      </w:r>
      <w:r w:rsidRPr="00C64973" w:rsidDel="00B01A17">
        <w:rPr>
          <w:b/>
          <w:i/>
        </w:rPr>
        <w:t xml:space="preserve"> </w:t>
      </w:r>
      <w:r w:rsidR="00C209F7" w:rsidRPr="00C64973">
        <w:rPr>
          <w:b/>
          <w:i/>
        </w:rPr>
        <w:t xml:space="preserve">up to 102 </w:t>
      </w:r>
      <w:r w:rsidR="002603BB" w:rsidRPr="00C64973">
        <w:rPr>
          <w:b/>
          <w:i/>
        </w:rPr>
        <w:t>additional O&amp;M specialists over the next three years</w:t>
      </w:r>
      <w:r w:rsidR="00D179F6" w:rsidRPr="00C64973">
        <w:rPr>
          <w:b/>
          <w:i/>
        </w:rPr>
        <w:t xml:space="preserve"> to accommodate both attrition and student growth</w:t>
      </w:r>
      <w:r w:rsidR="002603BB" w:rsidRPr="00C64973">
        <w:rPr>
          <w:b/>
          <w:i/>
        </w:rPr>
        <w:t>.</w:t>
      </w:r>
    </w:p>
    <w:p w14:paraId="07515480" w14:textId="15899287" w:rsidR="00BA43CE" w:rsidRPr="00C64973" w:rsidRDefault="00BA43CE" w:rsidP="00BA43CE">
      <w:r w:rsidRPr="00C64973">
        <w:t>The projected need for orientation and mobili</w:t>
      </w:r>
      <w:r w:rsidR="00C35842" w:rsidRPr="00C64973">
        <w:t>ty specialists (</w:t>
      </w:r>
      <w:r w:rsidR="00D574E5">
        <w:rPr>
          <w:color w:val="000000" w:themeColor="text1"/>
        </w:rPr>
        <w:t>COMS</w:t>
      </w:r>
      <w:r w:rsidR="00E6314D" w:rsidRPr="00C64973">
        <w:rPr>
          <w:color w:val="000000" w:themeColor="text1"/>
        </w:rPr>
        <w:t>) in</w:t>
      </w:r>
      <w:r w:rsidRPr="00C64973">
        <w:rPr>
          <w:color w:val="000000" w:themeColor="text1"/>
        </w:rPr>
        <w:t>creased</w:t>
      </w:r>
      <w:r w:rsidRPr="00C64973">
        <w:t xml:space="preserve"> </w:t>
      </w:r>
      <w:r w:rsidR="00C209F7" w:rsidRPr="00C64973">
        <w:t>in the longer-term category and decreased slightly in short-term need</w:t>
      </w:r>
      <w:r w:rsidR="00C35842" w:rsidRPr="00C64973">
        <w:t xml:space="preserve">. </w:t>
      </w:r>
      <w:r w:rsidR="000C4CA3" w:rsidRPr="00C64973">
        <w:t xml:space="preserve">It is important to consider the following factors when estimating the future </w:t>
      </w:r>
      <w:r w:rsidRPr="00C64973">
        <w:t>need for O&amp;M special</w:t>
      </w:r>
      <w:r w:rsidR="000C4CA3" w:rsidRPr="00C64973">
        <w:t>ists:</w:t>
      </w:r>
    </w:p>
    <w:p w14:paraId="288DC9D7" w14:textId="77777777" w:rsidR="000C4CA3" w:rsidRPr="00C64973" w:rsidRDefault="000C4CA3" w:rsidP="000C4CA3">
      <w:pPr>
        <w:pStyle w:val="ListParagraph"/>
        <w:numPr>
          <w:ilvl w:val="0"/>
          <w:numId w:val="24"/>
        </w:numPr>
      </w:pPr>
      <w:r w:rsidRPr="00C64973">
        <w:t xml:space="preserve">TEC 30.002 requires that initial evaluations of students with visual impairments include an O&amp;M evaluation. </w:t>
      </w:r>
    </w:p>
    <w:p w14:paraId="0594C978" w14:textId="77777777" w:rsidR="000C4CA3" w:rsidRPr="00C64973" w:rsidRDefault="000C4CA3" w:rsidP="000C4CA3">
      <w:pPr>
        <w:pStyle w:val="ListParagraph"/>
        <w:numPr>
          <w:ilvl w:val="0"/>
          <w:numId w:val="24"/>
        </w:numPr>
      </w:pPr>
      <w:r w:rsidRPr="00C64973">
        <w:t xml:space="preserve">Approximately 25% of current students with visual impairments have not had an O&amp;M evaluation to determine whether they need O&amp;M services. </w:t>
      </w:r>
    </w:p>
    <w:p w14:paraId="56236108" w14:textId="39DA57DF" w:rsidR="00BA43CE" w:rsidRPr="00C64973" w:rsidRDefault="000C4CA3" w:rsidP="00BA43CE">
      <w:pPr>
        <w:pStyle w:val="ListParagraph"/>
        <w:numPr>
          <w:ilvl w:val="0"/>
          <w:numId w:val="24"/>
        </w:numPr>
        <w:spacing w:line="288" w:lineRule="auto"/>
      </w:pPr>
      <w:r w:rsidRPr="00C64973">
        <w:t>Currently, t</w:t>
      </w:r>
      <w:r w:rsidR="00BA43CE" w:rsidRPr="00C64973">
        <w:t>here are no reliable statistical projections on the percentage of students with visual impairme</w:t>
      </w:r>
      <w:r w:rsidR="00E81CC5" w:rsidRPr="00C64973">
        <w:t xml:space="preserve">nts who will need </w:t>
      </w:r>
      <w:r w:rsidR="00BA43CE" w:rsidRPr="00C64973">
        <w:t xml:space="preserve">O&amp;M services </w:t>
      </w:r>
      <w:r w:rsidR="00BA43CE" w:rsidRPr="00C64973">
        <w:rPr>
          <w:i/>
        </w:rPr>
        <w:t>at any given</w:t>
      </w:r>
      <w:r w:rsidR="00BA43CE" w:rsidRPr="00C64973">
        <w:t xml:space="preserve"> time. </w:t>
      </w:r>
    </w:p>
    <w:p w14:paraId="66AEAD24" w14:textId="1EAE32CA" w:rsidR="00B03E9A" w:rsidRPr="00C64973" w:rsidRDefault="00B03E9A" w:rsidP="00B03E9A">
      <w:pPr>
        <w:pStyle w:val="Heading3"/>
      </w:pPr>
      <w:r w:rsidRPr="00C64973">
        <w:t xml:space="preserve">Table 13: Projected Need and </w:t>
      </w:r>
      <w:r w:rsidR="00D574E5">
        <w:t>COMS</w:t>
      </w:r>
    </w:p>
    <w:tbl>
      <w:tblPr>
        <w:tblpPr w:leftFromText="180" w:rightFromText="180"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8"/>
        <w:gridCol w:w="1427"/>
      </w:tblGrid>
      <w:tr w:rsidR="00B03E9A" w:rsidRPr="00C64973" w14:paraId="56E2FC00" w14:textId="77777777" w:rsidTr="004A7278">
        <w:trPr>
          <w:trHeight w:val="390"/>
        </w:trPr>
        <w:tc>
          <w:tcPr>
            <w:tcW w:w="5768" w:type="dxa"/>
          </w:tcPr>
          <w:p w14:paraId="4E61F2A0" w14:textId="61F3CB33" w:rsidR="00B03E9A" w:rsidRPr="00C64973" w:rsidRDefault="00B03E9A" w:rsidP="004A7278">
            <w:pPr>
              <w:spacing w:after="0" w:line="288" w:lineRule="auto"/>
              <w:rPr>
                <w:szCs w:val="22"/>
              </w:rPr>
            </w:pPr>
            <w:r w:rsidRPr="00C64973">
              <w:rPr>
                <w:szCs w:val="22"/>
              </w:rPr>
              <w:t xml:space="preserve">Number of </w:t>
            </w:r>
            <w:r w:rsidR="00D574E5">
              <w:rPr>
                <w:szCs w:val="22"/>
              </w:rPr>
              <w:t>COMS</w:t>
            </w:r>
            <w:r w:rsidRPr="00C64973">
              <w:rPr>
                <w:szCs w:val="22"/>
              </w:rPr>
              <w:t xml:space="preserve"> needed to meet student growth</w:t>
            </w:r>
          </w:p>
        </w:tc>
        <w:tc>
          <w:tcPr>
            <w:tcW w:w="1427" w:type="dxa"/>
          </w:tcPr>
          <w:p w14:paraId="1EA5BA26" w14:textId="55303F6C" w:rsidR="00B03E9A" w:rsidRPr="00C64973" w:rsidRDefault="00BD20EB" w:rsidP="004A7278">
            <w:pPr>
              <w:pStyle w:val="Heading4"/>
              <w:spacing w:after="0"/>
              <w:jc w:val="center"/>
              <w:rPr>
                <w:rFonts w:ascii="Arial" w:hAnsi="Arial" w:cs="Arial"/>
                <w:b w:val="0"/>
                <w:sz w:val="24"/>
                <w:szCs w:val="24"/>
              </w:rPr>
            </w:pPr>
            <w:r w:rsidRPr="00C64973">
              <w:rPr>
                <w:rFonts w:ascii="Arial" w:hAnsi="Arial" w:cs="Arial"/>
                <w:b w:val="0"/>
                <w:sz w:val="24"/>
                <w:szCs w:val="24"/>
              </w:rPr>
              <w:t>41</w:t>
            </w:r>
            <w:r w:rsidR="009F2C4F" w:rsidRPr="00C64973">
              <w:rPr>
                <w:rFonts w:ascii="Arial" w:hAnsi="Arial" w:cs="Arial"/>
                <w:b w:val="0"/>
                <w:sz w:val="24"/>
                <w:szCs w:val="24"/>
              </w:rPr>
              <w:t xml:space="preserve"> - 57</w:t>
            </w:r>
          </w:p>
        </w:tc>
      </w:tr>
      <w:tr w:rsidR="00B03E9A" w:rsidRPr="00C64973" w14:paraId="59EC0CC8" w14:textId="77777777" w:rsidTr="004A7278">
        <w:trPr>
          <w:trHeight w:val="624"/>
        </w:trPr>
        <w:tc>
          <w:tcPr>
            <w:tcW w:w="5768" w:type="dxa"/>
          </w:tcPr>
          <w:p w14:paraId="5CEA6EAE" w14:textId="38E84EBA" w:rsidR="00B03E9A" w:rsidRPr="00C64973" w:rsidRDefault="00B03E9A" w:rsidP="004A7278">
            <w:pPr>
              <w:spacing w:before="240" w:after="0" w:line="288" w:lineRule="auto"/>
              <w:rPr>
                <w:rFonts w:eastAsia="MS Mincho"/>
                <w:iCs/>
                <w:szCs w:val="22"/>
              </w:rPr>
            </w:pPr>
            <w:r w:rsidRPr="00C64973">
              <w:rPr>
                <w:rFonts w:eastAsia="MS Mincho"/>
                <w:iCs/>
                <w:szCs w:val="22"/>
              </w:rPr>
              <w:t xml:space="preserve">Number of </w:t>
            </w:r>
            <w:r w:rsidR="00D574E5">
              <w:rPr>
                <w:rFonts w:eastAsia="MS Mincho"/>
                <w:iCs/>
                <w:szCs w:val="22"/>
              </w:rPr>
              <w:t>COMS</w:t>
            </w:r>
            <w:r w:rsidRPr="00C64973">
              <w:rPr>
                <w:rFonts w:eastAsia="MS Mincho"/>
                <w:iCs/>
                <w:szCs w:val="22"/>
              </w:rPr>
              <w:t xml:space="preserve"> needed due to attrition</w:t>
            </w:r>
          </w:p>
        </w:tc>
        <w:tc>
          <w:tcPr>
            <w:tcW w:w="1427" w:type="dxa"/>
          </w:tcPr>
          <w:p w14:paraId="28A4EB85" w14:textId="1042ECF7" w:rsidR="00B03E9A" w:rsidRPr="00C64973" w:rsidRDefault="00BD20EB" w:rsidP="004A7278">
            <w:pPr>
              <w:spacing w:before="240" w:after="0" w:line="288" w:lineRule="auto"/>
              <w:jc w:val="center"/>
              <w:rPr>
                <w:szCs w:val="22"/>
              </w:rPr>
            </w:pPr>
            <w:r w:rsidRPr="00C64973">
              <w:rPr>
                <w:szCs w:val="22"/>
              </w:rPr>
              <w:t>45</w:t>
            </w:r>
          </w:p>
        </w:tc>
      </w:tr>
      <w:tr w:rsidR="00B03E9A" w:rsidRPr="00C64973" w14:paraId="336AF802" w14:textId="77777777" w:rsidTr="004A7278">
        <w:trPr>
          <w:trHeight w:val="624"/>
        </w:trPr>
        <w:tc>
          <w:tcPr>
            <w:tcW w:w="5768" w:type="dxa"/>
          </w:tcPr>
          <w:p w14:paraId="4FB328BA" w14:textId="776C6BD7" w:rsidR="00B03E9A" w:rsidRPr="00C64973" w:rsidRDefault="00A4765C" w:rsidP="004A7278">
            <w:pPr>
              <w:spacing w:before="240" w:after="0" w:line="288" w:lineRule="auto"/>
              <w:rPr>
                <w:rFonts w:eastAsia="MS Mincho"/>
                <w:iCs/>
                <w:szCs w:val="22"/>
              </w:rPr>
            </w:pPr>
            <w:r w:rsidRPr="00C64973">
              <w:rPr>
                <w:rFonts w:eastAsia="MS Mincho"/>
                <w:iCs/>
                <w:szCs w:val="22"/>
              </w:rPr>
              <w:t>Total FTE needed by 202</w:t>
            </w:r>
            <w:r w:rsidR="00BD20EB" w:rsidRPr="00C64973">
              <w:rPr>
                <w:rFonts w:eastAsia="MS Mincho"/>
                <w:iCs/>
                <w:szCs w:val="22"/>
              </w:rPr>
              <w:t>3</w:t>
            </w:r>
          </w:p>
        </w:tc>
        <w:tc>
          <w:tcPr>
            <w:tcW w:w="1427" w:type="dxa"/>
          </w:tcPr>
          <w:p w14:paraId="272E39C5" w14:textId="1EED6680" w:rsidR="00B03E9A" w:rsidRPr="00C64973" w:rsidRDefault="00BD20EB" w:rsidP="004A7278">
            <w:pPr>
              <w:spacing w:before="240" w:after="0" w:line="288" w:lineRule="auto"/>
              <w:jc w:val="center"/>
              <w:rPr>
                <w:szCs w:val="22"/>
              </w:rPr>
            </w:pPr>
            <w:r w:rsidRPr="00C64973">
              <w:rPr>
                <w:szCs w:val="22"/>
              </w:rPr>
              <w:t>86-102</w:t>
            </w:r>
          </w:p>
        </w:tc>
      </w:tr>
    </w:tbl>
    <w:p w14:paraId="315C4EFA" w14:textId="7AFFA783" w:rsidR="00B03E9A" w:rsidRPr="00C64973" w:rsidRDefault="00B03E9A" w:rsidP="00B03E9A">
      <w:pPr>
        <w:spacing w:line="288" w:lineRule="auto"/>
      </w:pPr>
    </w:p>
    <w:p w14:paraId="3CCA47EC" w14:textId="36213A07" w:rsidR="00B03E9A" w:rsidRPr="00C64973" w:rsidRDefault="00B03E9A" w:rsidP="00B03E9A">
      <w:pPr>
        <w:spacing w:line="288" w:lineRule="auto"/>
      </w:pPr>
    </w:p>
    <w:p w14:paraId="159D49BD" w14:textId="245E2504" w:rsidR="00AA46DE" w:rsidRPr="00C64973" w:rsidRDefault="00AA46DE" w:rsidP="00BA43CE">
      <w:pPr>
        <w:spacing w:line="288" w:lineRule="auto"/>
      </w:pPr>
    </w:p>
    <w:p w14:paraId="67C6CE9B" w14:textId="2AA9B916" w:rsidR="00BD20EB" w:rsidRPr="00C64973" w:rsidRDefault="00BD20EB" w:rsidP="00BA43CE">
      <w:pPr>
        <w:spacing w:line="288" w:lineRule="auto"/>
      </w:pPr>
    </w:p>
    <w:p w14:paraId="17EADC1A" w14:textId="5D709B7F" w:rsidR="00BA43CE" w:rsidRPr="00C64973" w:rsidRDefault="00BA43CE" w:rsidP="00BA43CE">
      <w:pPr>
        <w:spacing w:line="288" w:lineRule="auto"/>
      </w:pPr>
      <w:r w:rsidRPr="00C64973">
        <w:t xml:space="preserve">As discussed in the Growth of Students with Visual Impairments and Impact on VI Professionals </w:t>
      </w:r>
      <w:r w:rsidR="00AA46DE" w:rsidRPr="00C64973">
        <w:t xml:space="preserve">(pages </w:t>
      </w:r>
      <w:r w:rsidR="002B6BC5" w:rsidRPr="00C64973">
        <w:t>14-15</w:t>
      </w:r>
      <w:r w:rsidR="0001370D" w:rsidRPr="00C64973">
        <w:t>), T</w:t>
      </w:r>
      <w:r w:rsidR="00102B93" w:rsidRPr="00C64973">
        <w:t xml:space="preserve">exas will need between </w:t>
      </w:r>
      <w:r w:rsidR="00650047" w:rsidRPr="00C64973">
        <w:t>41</w:t>
      </w:r>
      <w:r w:rsidR="00222BCE" w:rsidRPr="00C64973">
        <w:t xml:space="preserve"> and 57</w:t>
      </w:r>
      <w:r w:rsidRPr="00C64973">
        <w:t xml:space="preserve"> </w:t>
      </w:r>
      <w:r w:rsidR="00A854DC">
        <w:t xml:space="preserve">additional </w:t>
      </w:r>
      <w:r w:rsidRPr="00C64973">
        <w:t>O&amp;M specialists to meet the anticipated growth in the number of students with visual impairments.</w:t>
      </w:r>
    </w:p>
    <w:p w14:paraId="12846284" w14:textId="55D10705" w:rsidR="00826B2A" w:rsidRPr="00C64973" w:rsidRDefault="00BA43CE" w:rsidP="00BA43CE">
      <w:pPr>
        <w:spacing w:line="288" w:lineRule="auto"/>
      </w:pPr>
      <w:r w:rsidRPr="00C64973">
        <w:t>Regiona</w:t>
      </w:r>
      <w:r w:rsidR="00650047" w:rsidRPr="00C64973">
        <w:t>l VI consultants project that 45</w:t>
      </w:r>
      <w:r w:rsidRPr="00C64973">
        <w:t xml:space="preserve"> people with O&amp;M expertise (O&amp;M specialists and dually certified professionals) w</w:t>
      </w:r>
      <w:r w:rsidR="00765788">
        <w:t xml:space="preserve">ill </w:t>
      </w:r>
      <w:r w:rsidR="00650047" w:rsidRPr="00C64973">
        <w:t>leave the field by 2023</w:t>
      </w:r>
      <w:r w:rsidR="00A22358" w:rsidRPr="00C64973">
        <w:t xml:space="preserve">.  </w:t>
      </w:r>
      <w:r w:rsidRPr="00C64973">
        <w:t>If the expected student growth is combined with the 3-year projected attrition and based on statewide average student-to-teacher ratios, it is lik</w:t>
      </w:r>
      <w:r w:rsidR="000900F3" w:rsidRPr="00C64973">
        <w:t xml:space="preserve">ely that </w:t>
      </w:r>
      <w:r w:rsidR="0035103F" w:rsidRPr="00C64973">
        <w:t xml:space="preserve">Texas will need between </w:t>
      </w:r>
      <w:r w:rsidR="00650047" w:rsidRPr="00C64973">
        <w:t>86</w:t>
      </w:r>
      <w:r w:rsidR="00EE09DD" w:rsidRPr="00C64973">
        <w:t xml:space="preserve"> </w:t>
      </w:r>
      <w:r w:rsidR="00650047" w:rsidRPr="00C64973">
        <w:t>and 102</w:t>
      </w:r>
      <w:r w:rsidR="0035103F" w:rsidRPr="00C64973">
        <w:t xml:space="preserve"> </w:t>
      </w:r>
      <w:r w:rsidRPr="00C64973">
        <w:t xml:space="preserve">additional full- and part-time O&amp;M specialists over the next 3 years. </w:t>
      </w:r>
      <w:r w:rsidR="00C64D07" w:rsidRPr="00C64973">
        <w:t xml:space="preserve">The </w:t>
      </w:r>
      <w:r w:rsidR="003536A8" w:rsidRPr="00C64973">
        <w:t xml:space="preserve">projected longer-term need of </w:t>
      </w:r>
      <w:r w:rsidR="00650047" w:rsidRPr="00C64973">
        <w:t>87</w:t>
      </w:r>
      <w:r w:rsidR="00E81CC5" w:rsidRPr="00C64973">
        <w:t xml:space="preserve"> </w:t>
      </w:r>
      <w:r w:rsidRPr="00C64973">
        <w:t>made by the ESC consultants, who know their regio</w:t>
      </w:r>
      <w:r w:rsidR="003536A8" w:rsidRPr="00C64973">
        <w:t xml:space="preserve">ns best, falls within </w:t>
      </w:r>
      <w:r w:rsidR="000C4CA3" w:rsidRPr="00C64973">
        <w:t xml:space="preserve">the lower end of </w:t>
      </w:r>
      <w:r w:rsidR="003536A8" w:rsidRPr="00C64973">
        <w:t>this range</w:t>
      </w:r>
      <w:r w:rsidR="00F62148" w:rsidRPr="00C64973">
        <w:t>.</w:t>
      </w:r>
      <w:r w:rsidR="000C4CA3" w:rsidRPr="00C64973">
        <w:t xml:space="preserve"> As previously mentioned, t</w:t>
      </w:r>
      <w:r w:rsidR="003536A8" w:rsidRPr="00C64973">
        <w:t>he</w:t>
      </w:r>
      <w:r w:rsidR="00E212CF" w:rsidRPr="00C64973">
        <w:t xml:space="preserve"> 2020</w:t>
      </w:r>
      <w:r w:rsidR="003536A8" w:rsidRPr="00C64973">
        <w:t xml:space="preserve"> statewide projected need for COMS h</w:t>
      </w:r>
      <w:r w:rsidR="00E212CF" w:rsidRPr="00C64973">
        <w:t>a</w:t>
      </w:r>
      <w:r w:rsidR="000C4CA3" w:rsidRPr="00C64973">
        <w:t>s not been this high in six years. It is imperative f</w:t>
      </w:r>
      <w:r w:rsidR="00826B2A" w:rsidRPr="00C64973">
        <w:t xml:space="preserve">or districts to ensure that all students with visual impairments receive </w:t>
      </w:r>
      <w:r w:rsidR="00F13399" w:rsidRPr="00C64973">
        <w:t xml:space="preserve">an initial orientation and mobility evaluation and </w:t>
      </w:r>
      <w:r w:rsidR="00826B2A" w:rsidRPr="00C64973">
        <w:t xml:space="preserve">consideration by an O&amp;M specialist of their need </w:t>
      </w:r>
      <w:r w:rsidR="00F13399" w:rsidRPr="00C64973">
        <w:t xml:space="preserve">for an </w:t>
      </w:r>
      <w:r w:rsidR="00826B2A" w:rsidRPr="00C64973">
        <w:t>evaluation</w:t>
      </w:r>
      <w:r w:rsidR="00AA46DE" w:rsidRPr="00C64973">
        <w:t xml:space="preserve"> every three years</w:t>
      </w:r>
      <w:r w:rsidR="00826B2A" w:rsidRPr="00C64973">
        <w:t>. Only then can the educational team members be assured that those who need O&amp;M instruction are receiving it.</w:t>
      </w:r>
    </w:p>
    <w:p w14:paraId="652109CE" w14:textId="0B03277E" w:rsidR="00826B2A" w:rsidRPr="00C64973" w:rsidRDefault="00306ABD" w:rsidP="00010D70">
      <w:pPr>
        <w:spacing w:line="288" w:lineRule="auto"/>
      </w:pPr>
      <w:r w:rsidRPr="00C64973">
        <w:t xml:space="preserve">An </w:t>
      </w:r>
      <w:r w:rsidR="009A2FCC">
        <w:t>average of 23</w:t>
      </w:r>
      <w:r w:rsidR="00B479EC" w:rsidRPr="00C64973">
        <w:t xml:space="preserve"> </w:t>
      </w:r>
      <w:r w:rsidR="0031656F" w:rsidRPr="00C64973">
        <w:t xml:space="preserve">individuals </w:t>
      </w:r>
      <w:r w:rsidR="000C4CA3" w:rsidRPr="00C64973">
        <w:t xml:space="preserve">received </w:t>
      </w:r>
      <w:r w:rsidR="00572FBE" w:rsidRPr="00C64973">
        <w:t xml:space="preserve">orientation and mobility </w:t>
      </w:r>
      <w:r w:rsidR="00BA43CE" w:rsidRPr="00C64973">
        <w:t>c</w:t>
      </w:r>
      <w:r w:rsidR="002E69BA" w:rsidRPr="00C64973">
        <w:t>ertifica</w:t>
      </w:r>
      <w:r w:rsidR="000C4CA3" w:rsidRPr="00C64973">
        <w:t>tion through a Texas university</w:t>
      </w:r>
      <w:r w:rsidR="00F62148" w:rsidRPr="00C64973">
        <w:t xml:space="preserve"> over the last three </w:t>
      </w:r>
      <w:r w:rsidR="00572FBE" w:rsidRPr="00C64973">
        <w:t>year</w:t>
      </w:r>
      <w:r w:rsidR="002E69BA" w:rsidRPr="00C64973">
        <w:t>s</w:t>
      </w:r>
      <w:r w:rsidR="00572FBE" w:rsidRPr="00C64973">
        <w:t xml:space="preserve">. </w:t>
      </w:r>
      <w:r w:rsidR="00DE176F">
        <w:t>In addition to the decline in O&amp;M completers seen in 2019, t</w:t>
      </w:r>
      <w:r w:rsidR="00E212CF" w:rsidRPr="00C64973">
        <w:t>his year</w:t>
      </w:r>
      <w:r w:rsidR="000C4CA3" w:rsidRPr="00C64973">
        <w:t xml:space="preserve"> </w:t>
      </w:r>
      <w:r w:rsidR="00DE176F">
        <w:t>brought highly unforeseen challenges and the total number of O&amp;M completers dropped once again</w:t>
      </w:r>
      <w:r w:rsidR="00AD6A0F" w:rsidRPr="00C64973">
        <w:t xml:space="preserve">. The COVID-19 pandemic halted </w:t>
      </w:r>
      <w:r w:rsidR="00E212CF" w:rsidRPr="00C64973">
        <w:t xml:space="preserve">orientation and mobility </w:t>
      </w:r>
      <w:r w:rsidR="00C616E9">
        <w:t xml:space="preserve">internships and prevented </w:t>
      </w:r>
      <w:r w:rsidR="00AD6A0F" w:rsidRPr="00C64973">
        <w:t>students from completing t</w:t>
      </w:r>
      <w:r w:rsidR="0054771B" w:rsidRPr="00C64973">
        <w:t xml:space="preserve">heir program and </w:t>
      </w:r>
      <w:r w:rsidR="00AD6A0F" w:rsidRPr="00C64973">
        <w:t xml:space="preserve">the certification process. </w:t>
      </w:r>
      <w:r w:rsidR="00572FBE" w:rsidRPr="00C64973">
        <w:t xml:space="preserve">Presuming that </w:t>
      </w:r>
      <w:r w:rsidR="00010D70" w:rsidRPr="00C64973">
        <w:t xml:space="preserve">orientation and mobility students continue to find challenges in completing their programs, and </w:t>
      </w:r>
      <w:r w:rsidR="00572FBE" w:rsidRPr="00C64973">
        <w:t>the number of completers continu</w:t>
      </w:r>
      <w:r w:rsidR="002C628D" w:rsidRPr="00C64973">
        <w:t>es at the same rate</w:t>
      </w:r>
      <w:r w:rsidR="00DE176F">
        <w:t xml:space="preserve"> over the next 3 years (68</w:t>
      </w:r>
      <w:r w:rsidR="00010D70" w:rsidRPr="00C64973">
        <w:t>),</w:t>
      </w:r>
      <w:r w:rsidR="002C628D" w:rsidRPr="00C64973">
        <w:t xml:space="preserve"> </w:t>
      </w:r>
      <w:r w:rsidR="00010D70" w:rsidRPr="00C64973">
        <w:rPr>
          <w:b/>
          <w:i/>
        </w:rPr>
        <w:t>it is likely that the</w:t>
      </w:r>
      <w:r w:rsidR="00C72A4F" w:rsidRPr="00C64973">
        <w:rPr>
          <w:b/>
          <w:i/>
        </w:rPr>
        <w:t xml:space="preserve"> need for </w:t>
      </w:r>
      <w:r w:rsidR="00817750" w:rsidRPr="00C64973">
        <w:rPr>
          <w:b/>
          <w:i/>
        </w:rPr>
        <w:t xml:space="preserve">a minimum of </w:t>
      </w:r>
      <w:r w:rsidR="00C72A4F" w:rsidRPr="00C64973">
        <w:rPr>
          <w:b/>
          <w:i/>
        </w:rPr>
        <w:t>86 new COMS by 2023</w:t>
      </w:r>
      <w:r w:rsidR="00C72A4F" w:rsidRPr="00C64973">
        <w:t xml:space="preserve"> </w:t>
      </w:r>
      <w:r w:rsidR="00C72A4F" w:rsidRPr="00C64973">
        <w:rPr>
          <w:b/>
          <w:i/>
        </w:rPr>
        <w:t>will not be met</w:t>
      </w:r>
      <w:r w:rsidR="00C72A4F" w:rsidRPr="00C64973">
        <w:t xml:space="preserve">. </w:t>
      </w:r>
    </w:p>
    <w:p w14:paraId="3170691C" w14:textId="115D7647" w:rsidR="006E7845" w:rsidRPr="00C64973" w:rsidRDefault="00D80FA1" w:rsidP="006E7845">
      <w:pPr>
        <w:pStyle w:val="Heading1"/>
      </w:pPr>
      <w:bookmarkStart w:id="118" w:name="_Toc284342505"/>
      <w:bookmarkStart w:id="119" w:name="_Toc347126958"/>
      <w:bookmarkStart w:id="120" w:name="_Toc347127190"/>
      <w:bookmarkStart w:id="121" w:name="_Toc408835463"/>
      <w:bookmarkStart w:id="122" w:name="_Toc61607315"/>
      <w:bookmarkEnd w:id="79"/>
      <w:bookmarkEnd w:id="80"/>
      <w:bookmarkEnd w:id="81"/>
      <w:bookmarkEnd w:id="82"/>
      <w:r w:rsidRPr="00C64973">
        <w:t>Enrollment t</w:t>
      </w:r>
      <w:r w:rsidR="00537A84" w:rsidRPr="00C64973">
        <w:t>o Prepare VI Professionals</w:t>
      </w:r>
      <w:bookmarkEnd w:id="118"/>
      <w:bookmarkEnd w:id="119"/>
      <w:bookmarkEnd w:id="120"/>
      <w:bookmarkEnd w:id="121"/>
      <w:bookmarkEnd w:id="122"/>
    </w:p>
    <w:p w14:paraId="5F015C08" w14:textId="2DBF354E" w:rsidR="00C80FF7" w:rsidRPr="00C64973" w:rsidRDefault="00537A84" w:rsidP="00537A84">
      <w:pPr>
        <w:spacing w:line="288" w:lineRule="auto"/>
      </w:pPr>
      <w:r w:rsidRPr="00C64973">
        <w:t>Texas is fortunate to have two collaborative partners who train VI professionals</w:t>
      </w:r>
      <w:r w:rsidR="00903537" w:rsidRPr="00C64973">
        <w:t xml:space="preserve">: </w:t>
      </w:r>
      <w:r w:rsidRPr="00C64973">
        <w:t>Texas Tech</w:t>
      </w:r>
      <w:r w:rsidR="006873F7" w:rsidRPr="00C64973">
        <w:t xml:space="preserve"> </w:t>
      </w:r>
      <w:r w:rsidR="002B2EAE" w:rsidRPr="00C64973">
        <w:t>University (</w:t>
      </w:r>
      <w:r w:rsidR="006873F7" w:rsidRPr="00C64973">
        <w:t>TTU)</w:t>
      </w:r>
      <w:r w:rsidRPr="00C64973">
        <w:t xml:space="preserve"> and Stephen F. Austin</w:t>
      </w:r>
      <w:r w:rsidR="006873F7" w:rsidRPr="00C64973">
        <w:t xml:space="preserve"> </w:t>
      </w:r>
      <w:r w:rsidRPr="00C64973">
        <w:t>State Universit</w:t>
      </w:r>
      <w:r w:rsidR="008C50B4" w:rsidRPr="00C64973">
        <w:t>y</w:t>
      </w:r>
      <w:r w:rsidR="006873F7" w:rsidRPr="00C64973">
        <w:t xml:space="preserve"> (SFASU)</w:t>
      </w:r>
      <w:r w:rsidRPr="00C64973">
        <w:t>.</w:t>
      </w:r>
      <w:r w:rsidR="00573C61" w:rsidRPr="00C64973">
        <w:t xml:space="preserve"> </w:t>
      </w:r>
      <w:r w:rsidR="00C80FF7" w:rsidRPr="00C64973">
        <w:t xml:space="preserve">Both </w:t>
      </w:r>
      <w:r w:rsidR="00436F2F" w:rsidRPr="00C64973">
        <w:t xml:space="preserve">schools </w:t>
      </w:r>
      <w:r w:rsidR="00C80FF7" w:rsidRPr="00C64973">
        <w:t xml:space="preserve">have graduate programs for </w:t>
      </w:r>
      <w:r w:rsidR="00723F4D" w:rsidRPr="00C64973">
        <w:t>TVI</w:t>
      </w:r>
      <w:r w:rsidR="00FE355F" w:rsidRPr="00C64973">
        <w:t>s</w:t>
      </w:r>
      <w:r w:rsidR="00C80FF7" w:rsidRPr="00C64973">
        <w:t xml:space="preserve"> and O&amp;M specialists.</w:t>
      </w:r>
      <w:r w:rsidR="00573C61" w:rsidRPr="00C64973">
        <w:t xml:space="preserve"> </w:t>
      </w:r>
      <w:r w:rsidR="00C80FF7" w:rsidRPr="00C64973">
        <w:t xml:space="preserve">SFASU also has an undergraduate program for </w:t>
      </w:r>
      <w:r w:rsidR="00D80FA1" w:rsidRPr="00C64973">
        <w:t>orientatio</w:t>
      </w:r>
      <w:r w:rsidR="00F13399" w:rsidRPr="00C64973">
        <w:t xml:space="preserve">n and mobility specialists. In fact, SFASU’s undergraduate O&amp;M program is the only one of its kind in the country. </w:t>
      </w:r>
      <w:r w:rsidR="00C80FF7" w:rsidRPr="00C64973">
        <w:t xml:space="preserve">Both </w:t>
      </w:r>
      <w:r w:rsidR="00436F2F" w:rsidRPr="00C64973">
        <w:t xml:space="preserve">schools </w:t>
      </w:r>
      <w:r w:rsidR="0054771B" w:rsidRPr="00C64973">
        <w:t>support and provide courses for VI and O&amp;M students using</w:t>
      </w:r>
      <w:r w:rsidR="00C80FF7" w:rsidRPr="00C64973">
        <w:t xml:space="preserve"> a combinati</w:t>
      </w:r>
      <w:r w:rsidR="00F13399" w:rsidRPr="00C64973">
        <w:t>on</w:t>
      </w:r>
      <w:r w:rsidR="00AA62A4" w:rsidRPr="00C64973">
        <w:t xml:space="preserve"> of distance-</w:t>
      </w:r>
      <w:r w:rsidR="008222F6" w:rsidRPr="00C64973">
        <w:t>learning and face-to-face courses.</w:t>
      </w:r>
    </w:p>
    <w:p w14:paraId="6033AB41" w14:textId="072345B6" w:rsidR="00B80628" w:rsidRPr="00C64973" w:rsidRDefault="00B21474" w:rsidP="00FE6559">
      <w:pPr>
        <w:spacing w:line="288" w:lineRule="auto"/>
      </w:pPr>
      <w:r w:rsidRPr="00C64973">
        <w:t>The</w:t>
      </w:r>
      <w:r w:rsidR="00C80FF7" w:rsidRPr="00C64973">
        <w:t xml:space="preserve"> combination of</w:t>
      </w:r>
      <w:r w:rsidRPr="00C64973">
        <w:t xml:space="preserve"> </w:t>
      </w:r>
      <w:r w:rsidR="00436F2F" w:rsidRPr="00C64973">
        <w:t>distance-</w:t>
      </w:r>
      <w:r w:rsidRPr="00C64973">
        <w:t xml:space="preserve">learning options and </w:t>
      </w:r>
      <w:r w:rsidR="004802D8" w:rsidRPr="00C64973">
        <w:t>supportive funding</w:t>
      </w:r>
      <w:r w:rsidRPr="00C64973">
        <w:t xml:space="preserve"> has had a major impact on the number of VI professionals in Texas.</w:t>
      </w:r>
      <w:r w:rsidR="00573C61" w:rsidRPr="00C64973">
        <w:t xml:space="preserve"> </w:t>
      </w:r>
      <w:r w:rsidR="0054771B" w:rsidRPr="00C64973">
        <w:t xml:space="preserve">Enrollment </w:t>
      </w:r>
      <w:r w:rsidR="00C80FF7" w:rsidRPr="00C64973">
        <w:t xml:space="preserve">increased substantially with the development of </w:t>
      </w:r>
      <w:r w:rsidR="00436F2F" w:rsidRPr="00C64973">
        <w:t>distance-</w:t>
      </w:r>
      <w:r w:rsidR="00C80FF7" w:rsidRPr="00C64973">
        <w:t>learning options</w:t>
      </w:r>
      <w:r w:rsidR="00063D36" w:rsidRPr="00C64973">
        <w:t xml:space="preserve"> in 1998</w:t>
      </w:r>
      <w:r w:rsidR="0054771B" w:rsidRPr="00C64973">
        <w:t xml:space="preserve"> and proved to be essential in 2020</w:t>
      </w:r>
      <w:r w:rsidR="004802D8" w:rsidRPr="00C64973">
        <w:t>.</w:t>
      </w:r>
      <w:r w:rsidR="00573C61" w:rsidRPr="00C64973">
        <w:t xml:space="preserve"> </w:t>
      </w:r>
    </w:p>
    <w:p w14:paraId="39E311E3" w14:textId="644652A1" w:rsidR="006E7845" w:rsidRPr="00C64973" w:rsidRDefault="006E7845" w:rsidP="006E7845">
      <w:pPr>
        <w:pStyle w:val="Heading2"/>
      </w:pPr>
      <w:bookmarkStart w:id="123" w:name="_Toc61607316"/>
      <w:r w:rsidRPr="00C64973">
        <w:t>Students registered in Texas programs</w:t>
      </w:r>
      <w:bookmarkEnd w:id="123"/>
    </w:p>
    <w:p w14:paraId="5879B4A7" w14:textId="4959FB67" w:rsidR="006E7845" w:rsidRPr="00C64973" w:rsidRDefault="000F70A4" w:rsidP="006E7845">
      <w:pPr>
        <w:spacing w:line="288" w:lineRule="auto"/>
        <w:rPr>
          <w:b/>
          <w:i/>
        </w:rPr>
      </w:pPr>
      <w:r>
        <w:rPr>
          <w:b/>
          <w:i/>
        </w:rPr>
        <w:t>T</w:t>
      </w:r>
      <w:r w:rsidR="007045F2" w:rsidRPr="00C64973">
        <w:rPr>
          <w:b/>
          <w:i/>
        </w:rPr>
        <w:t xml:space="preserve">he total number of </w:t>
      </w:r>
      <w:r w:rsidR="00695792" w:rsidRPr="00C64973">
        <w:rPr>
          <w:b/>
          <w:i/>
        </w:rPr>
        <w:t xml:space="preserve">Texas </w:t>
      </w:r>
      <w:r w:rsidR="007045F2" w:rsidRPr="00C64973">
        <w:rPr>
          <w:b/>
          <w:i/>
        </w:rPr>
        <w:t xml:space="preserve">students registered for courses leading to </w:t>
      </w:r>
      <w:r w:rsidR="00695792" w:rsidRPr="00C64973">
        <w:rPr>
          <w:b/>
          <w:i/>
        </w:rPr>
        <w:t xml:space="preserve">VI or O&amp;M </w:t>
      </w:r>
      <w:r w:rsidR="007045F2" w:rsidRPr="00C64973">
        <w:rPr>
          <w:b/>
          <w:i/>
        </w:rPr>
        <w:t>certif</w:t>
      </w:r>
      <w:r w:rsidR="00695792" w:rsidRPr="00C64973">
        <w:rPr>
          <w:b/>
          <w:i/>
        </w:rPr>
        <w:t>ication increa</w:t>
      </w:r>
      <w:r>
        <w:rPr>
          <w:b/>
          <w:i/>
        </w:rPr>
        <w:t xml:space="preserve">sed significantly in 2020. </w:t>
      </w:r>
    </w:p>
    <w:p w14:paraId="4C44A319" w14:textId="1CF38984" w:rsidR="003800A2" w:rsidRPr="00C64973" w:rsidRDefault="00D838BC" w:rsidP="006E7845">
      <w:pPr>
        <w:spacing w:line="288" w:lineRule="auto"/>
      </w:pPr>
      <w:r w:rsidRPr="00C64973">
        <w:t xml:space="preserve">As noted in the chart below and graph that follows, </w:t>
      </w:r>
      <w:r w:rsidR="00695792" w:rsidRPr="00C64973">
        <w:t>a total of 180</w:t>
      </w:r>
      <w:r w:rsidR="007045F2" w:rsidRPr="00C64973">
        <w:t xml:space="preserve"> students were registered for courses leading to certification</w:t>
      </w:r>
      <w:r w:rsidR="003800A2" w:rsidRPr="00C64973">
        <w:t xml:space="preserve"> in 2020. The total number of students grew this year in both the VI and O&amp;M programs, well above that of the 5-year average (169). O</w:t>
      </w:r>
      <w:r w:rsidR="00695792" w:rsidRPr="00C64973">
        <w:t>ne hundred twelve</w:t>
      </w:r>
      <w:r w:rsidR="006E7845" w:rsidRPr="00C64973">
        <w:t xml:space="preserve"> </w:t>
      </w:r>
      <w:r w:rsidRPr="00C64973">
        <w:t xml:space="preserve">individuals </w:t>
      </w:r>
      <w:r w:rsidR="006E7845" w:rsidRPr="00C64973">
        <w:t>are</w:t>
      </w:r>
      <w:r w:rsidR="00695792" w:rsidRPr="00C64973">
        <w:t xml:space="preserve"> seeking VI certification and 68</w:t>
      </w:r>
      <w:r w:rsidR="006E7845" w:rsidRPr="00C64973">
        <w:t xml:space="preserve"> are</w:t>
      </w:r>
      <w:r w:rsidR="000F70A4">
        <w:t xml:space="preserve"> </w:t>
      </w:r>
      <w:proofErr w:type="spellStart"/>
      <w:r w:rsidR="000F70A4">
        <w:t>en</w:t>
      </w:r>
      <w:proofErr w:type="spellEnd"/>
      <w:r w:rsidR="000F70A4">
        <w:t xml:space="preserve"> route to O&amp;M certification. This is positive </w:t>
      </w:r>
      <w:r w:rsidR="00EC6D6E">
        <w:t>and encouraging data as it reflects</w:t>
      </w:r>
      <w:r w:rsidR="00D726B1">
        <w:t xml:space="preserve"> both a growth in awareness of the</w:t>
      </w:r>
      <w:r w:rsidR="000F70A4">
        <w:t xml:space="preserve"> VI field</w:t>
      </w:r>
      <w:r w:rsidR="00D726B1">
        <w:t xml:space="preserve"> and an increase in knowledge of the preparation programs available in Texas that lead to VI and O&amp;M certification. </w:t>
      </w:r>
    </w:p>
    <w:p w14:paraId="455EC2A6" w14:textId="63CAA01B" w:rsidR="007320DB" w:rsidRPr="00C64973" w:rsidRDefault="007320DB" w:rsidP="00CF0C98">
      <w:pPr>
        <w:pStyle w:val="Heading3"/>
      </w:pPr>
      <w:r w:rsidRPr="00C64973">
        <w:t>Table 1</w:t>
      </w:r>
      <w:r w:rsidR="00C248EF" w:rsidRPr="00C64973">
        <w:t>4</w:t>
      </w:r>
      <w:r w:rsidRPr="00C64973">
        <w:t>: Number of Students in Training Programs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852"/>
        <w:gridCol w:w="1440"/>
        <w:gridCol w:w="1440"/>
        <w:gridCol w:w="1350"/>
      </w:tblGrid>
      <w:tr w:rsidR="00CD6A91" w:rsidRPr="00C64973" w14:paraId="0F5BF0C6" w14:textId="77777777" w:rsidTr="00576629">
        <w:tc>
          <w:tcPr>
            <w:tcW w:w="3852" w:type="dxa"/>
            <w:tcBorders>
              <w:top w:val="nil"/>
              <w:left w:val="nil"/>
              <w:right w:val="nil"/>
            </w:tcBorders>
          </w:tcPr>
          <w:p w14:paraId="5F5E375D" w14:textId="358E23F1" w:rsidR="00CD6A91" w:rsidRPr="00C64973" w:rsidRDefault="00CD6A91" w:rsidP="00CD6A91">
            <w:pPr>
              <w:pStyle w:val="Heading4"/>
              <w:spacing w:after="0"/>
            </w:pPr>
          </w:p>
        </w:tc>
        <w:tc>
          <w:tcPr>
            <w:tcW w:w="1440" w:type="dxa"/>
            <w:tcBorders>
              <w:top w:val="nil"/>
              <w:left w:val="nil"/>
              <w:right w:val="nil"/>
            </w:tcBorders>
          </w:tcPr>
          <w:p w14:paraId="3C7EDB8E" w14:textId="5E609343" w:rsidR="00CD6A91" w:rsidRPr="00C64973" w:rsidRDefault="00B80628" w:rsidP="00D42724">
            <w:pPr>
              <w:jc w:val="center"/>
              <w:rPr>
                <w:b/>
              </w:rPr>
            </w:pPr>
            <w:r w:rsidRPr="00C64973">
              <w:rPr>
                <w:b/>
              </w:rPr>
              <w:t>2018</w:t>
            </w:r>
          </w:p>
        </w:tc>
        <w:tc>
          <w:tcPr>
            <w:tcW w:w="1440" w:type="dxa"/>
            <w:tcBorders>
              <w:top w:val="nil"/>
              <w:left w:val="nil"/>
              <w:right w:val="nil"/>
            </w:tcBorders>
          </w:tcPr>
          <w:p w14:paraId="69B99839" w14:textId="1768BB14" w:rsidR="00CD6A91" w:rsidRPr="00C64973" w:rsidRDefault="00B80628" w:rsidP="00D42724">
            <w:pPr>
              <w:jc w:val="center"/>
              <w:rPr>
                <w:b/>
              </w:rPr>
            </w:pPr>
            <w:r w:rsidRPr="00C64973">
              <w:rPr>
                <w:b/>
              </w:rPr>
              <w:t>2019</w:t>
            </w:r>
          </w:p>
        </w:tc>
        <w:tc>
          <w:tcPr>
            <w:tcW w:w="1350" w:type="dxa"/>
            <w:tcBorders>
              <w:top w:val="nil"/>
              <w:left w:val="nil"/>
              <w:right w:val="nil"/>
            </w:tcBorders>
            <w:shd w:val="clear" w:color="auto" w:fill="auto"/>
          </w:tcPr>
          <w:p w14:paraId="1011A10C" w14:textId="7B66A6EC" w:rsidR="00CD6A91" w:rsidRPr="00C64973" w:rsidRDefault="00485435" w:rsidP="00D42724">
            <w:pPr>
              <w:jc w:val="center"/>
              <w:rPr>
                <w:b/>
              </w:rPr>
            </w:pPr>
            <w:r w:rsidRPr="00C64973">
              <w:rPr>
                <w:b/>
              </w:rPr>
              <w:t>20</w:t>
            </w:r>
            <w:r w:rsidR="00B80628" w:rsidRPr="00C64973">
              <w:rPr>
                <w:b/>
              </w:rPr>
              <w:t>20</w:t>
            </w:r>
          </w:p>
        </w:tc>
      </w:tr>
      <w:tr w:rsidR="003B2C3F" w:rsidRPr="00C64973" w14:paraId="4A561B2F" w14:textId="77777777" w:rsidTr="00576629">
        <w:tc>
          <w:tcPr>
            <w:tcW w:w="3852" w:type="dxa"/>
          </w:tcPr>
          <w:p w14:paraId="5530A43C" w14:textId="3D19E4B8" w:rsidR="003B2C3F" w:rsidRPr="00C64973" w:rsidRDefault="00A140B2" w:rsidP="004E6B67">
            <w:pPr>
              <w:spacing w:after="0" w:line="288" w:lineRule="auto"/>
              <w:rPr>
                <w:b/>
              </w:rPr>
            </w:pPr>
            <w:r w:rsidRPr="00C64973">
              <w:rPr>
                <w:b/>
              </w:rPr>
              <w:t>Visual impairments</w:t>
            </w:r>
          </w:p>
        </w:tc>
        <w:tc>
          <w:tcPr>
            <w:tcW w:w="1440" w:type="dxa"/>
          </w:tcPr>
          <w:p w14:paraId="46197680" w14:textId="62EA0266" w:rsidR="003B2C3F" w:rsidRPr="00C64973" w:rsidRDefault="00BC6A21" w:rsidP="00901ABE">
            <w:pPr>
              <w:spacing w:after="0" w:line="288" w:lineRule="auto"/>
              <w:jc w:val="center"/>
            </w:pPr>
            <w:r w:rsidRPr="00C64973">
              <w:t>1</w:t>
            </w:r>
            <w:r w:rsidR="00B80628" w:rsidRPr="00C64973">
              <w:t>05</w:t>
            </w:r>
          </w:p>
        </w:tc>
        <w:tc>
          <w:tcPr>
            <w:tcW w:w="1440" w:type="dxa"/>
          </w:tcPr>
          <w:p w14:paraId="59E3EB22" w14:textId="7623213A" w:rsidR="003B2C3F" w:rsidRPr="00C64973" w:rsidRDefault="00B80628" w:rsidP="00901ABE">
            <w:pPr>
              <w:spacing w:after="0" w:line="288" w:lineRule="auto"/>
              <w:jc w:val="center"/>
            </w:pPr>
            <w:r w:rsidRPr="00C64973">
              <w:t>96</w:t>
            </w:r>
          </w:p>
        </w:tc>
        <w:tc>
          <w:tcPr>
            <w:tcW w:w="1350" w:type="dxa"/>
            <w:shd w:val="clear" w:color="auto" w:fill="auto"/>
          </w:tcPr>
          <w:p w14:paraId="17C06101" w14:textId="26E1AC0C" w:rsidR="003B2C3F" w:rsidRPr="00C64973" w:rsidRDefault="00695792" w:rsidP="00D70640">
            <w:pPr>
              <w:spacing w:after="0" w:line="288" w:lineRule="auto"/>
              <w:jc w:val="center"/>
            </w:pPr>
            <w:r w:rsidRPr="00C64973">
              <w:t>112</w:t>
            </w:r>
          </w:p>
        </w:tc>
      </w:tr>
      <w:tr w:rsidR="003B2C3F" w:rsidRPr="00C64973" w14:paraId="6C27E65C" w14:textId="77777777" w:rsidTr="00576629">
        <w:tc>
          <w:tcPr>
            <w:tcW w:w="3852" w:type="dxa"/>
            <w:shd w:val="clear" w:color="auto" w:fill="auto"/>
          </w:tcPr>
          <w:p w14:paraId="645DC046" w14:textId="7EF2D4F2" w:rsidR="003B2C3F" w:rsidRPr="00C64973" w:rsidRDefault="00A140B2" w:rsidP="00A140B2">
            <w:pPr>
              <w:spacing w:after="0" w:line="288" w:lineRule="auto"/>
              <w:rPr>
                <w:b/>
              </w:rPr>
            </w:pPr>
            <w:r w:rsidRPr="00C64973">
              <w:rPr>
                <w:b/>
              </w:rPr>
              <w:t xml:space="preserve">Orientation and mobility </w:t>
            </w:r>
            <w:r w:rsidRPr="00C64973">
              <w:rPr>
                <w:szCs w:val="24"/>
              </w:rPr>
              <w:t>(inc</w:t>
            </w:r>
            <w:r w:rsidR="00CC269B" w:rsidRPr="00C64973">
              <w:rPr>
                <w:szCs w:val="24"/>
              </w:rPr>
              <w:t>l</w:t>
            </w:r>
            <w:r w:rsidRPr="00C64973">
              <w:rPr>
                <w:szCs w:val="24"/>
              </w:rPr>
              <w:t>. undergraduates)</w:t>
            </w:r>
          </w:p>
        </w:tc>
        <w:tc>
          <w:tcPr>
            <w:tcW w:w="1440" w:type="dxa"/>
          </w:tcPr>
          <w:p w14:paraId="7BA63456" w14:textId="2D052CA5" w:rsidR="003B2C3F" w:rsidRPr="00C64973" w:rsidRDefault="00B80628" w:rsidP="00901ABE">
            <w:pPr>
              <w:spacing w:after="0" w:line="288" w:lineRule="auto"/>
              <w:jc w:val="center"/>
            </w:pPr>
            <w:r w:rsidRPr="00C64973">
              <w:t>59</w:t>
            </w:r>
          </w:p>
        </w:tc>
        <w:tc>
          <w:tcPr>
            <w:tcW w:w="1440" w:type="dxa"/>
          </w:tcPr>
          <w:p w14:paraId="3232D190" w14:textId="1649871C" w:rsidR="003B2C3F" w:rsidRPr="00C64973" w:rsidRDefault="00B80628" w:rsidP="00901ABE">
            <w:pPr>
              <w:spacing w:after="0" w:line="288" w:lineRule="auto"/>
              <w:jc w:val="center"/>
            </w:pPr>
            <w:r w:rsidRPr="00C64973">
              <w:t>56</w:t>
            </w:r>
          </w:p>
        </w:tc>
        <w:tc>
          <w:tcPr>
            <w:tcW w:w="1350" w:type="dxa"/>
            <w:shd w:val="clear" w:color="auto" w:fill="auto"/>
          </w:tcPr>
          <w:p w14:paraId="629E40C6" w14:textId="4480129A" w:rsidR="003B2C3F" w:rsidRPr="00C64973" w:rsidRDefault="00695792" w:rsidP="00695792">
            <w:pPr>
              <w:spacing w:after="0" w:line="288" w:lineRule="auto"/>
              <w:jc w:val="center"/>
            </w:pPr>
            <w:r w:rsidRPr="00C64973">
              <w:t>68</w:t>
            </w:r>
          </w:p>
        </w:tc>
      </w:tr>
      <w:tr w:rsidR="003B2C3F" w:rsidRPr="00C64973" w14:paraId="2D60B8E4" w14:textId="77777777" w:rsidTr="00576629">
        <w:tc>
          <w:tcPr>
            <w:tcW w:w="3852" w:type="dxa"/>
            <w:shd w:val="clear" w:color="auto" w:fill="auto"/>
          </w:tcPr>
          <w:p w14:paraId="51BD4FFB" w14:textId="0E767AD2" w:rsidR="003B2C3F" w:rsidRPr="00C64973" w:rsidRDefault="003B2C3F" w:rsidP="004E6B67">
            <w:pPr>
              <w:spacing w:after="0" w:line="288" w:lineRule="auto"/>
              <w:rPr>
                <w:b/>
              </w:rPr>
            </w:pPr>
            <w:r w:rsidRPr="00C64973">
              <w:rPr>
                <w:b/>
              </w:rPr>
              <w:t>Total</w:t>
            </w:r>
          </w:p>
        </w:tc>
        <w:tc>
          <w:tcPr>
            <w:tcW w:w="1440" w:type="dxa"/>
          </w:tcPr>
          <w:p w14:paraId="66B23410" w14:textId="06B5F58A" w:rsidR="003B2C3F" w:rsidRPr="00C64973" w:rsidRDefault="00B80628" w:rsidP="00901ABE">
            <w:pPr>
              <w:spacing w:after="0" w:line="288" w:lineRule="auto"/>
              <w:jc w:val="center"/>
              <w:rPr>
                <w:b/>
              </w:rPr>
            </w:pPr>
            <w:r w:rsidRPr="00C64973">
              <w:rPr>
                <w:b/>
              </w:rPr>
              <w:t>164</w:t>
            </w:r>
          </w:p>
        </w:tc>
        <w:tc>
          <w:tcPr>
            <w:tcW w:w="1440" w:type="dxa"/>
          </w:tcPr>
          <w:p w14:paraId="5D842885" w14:textId="06BCCC8B" w:rsidR="003B2C3F" w:rsidRPr="00C64973" w:rsidRDefault="00B80628" w:rsidP="00901ABE">
            <w:pPr>
              <w:spacing w:after="0" w:line="288" w:lineRule="auto"/>
              <w:jc w:val="center"/>
              <w:rPr>
                <w:b/>
              </w:rPr>
            </w:pPr>
            <w:r w:rsidRPr="00C64973">
              <w:rPr>
                <w:b/>
              </w:rPr>
              <w:t>152</w:t>
            </w:r>
          </w:p>
        </w:tc>
        <w:tc>
          <w:tcPr>
            <w:tcW w:w="1350" w:type="dxa"/>
            <w:shd w:val="clear" w:color="auto" w:fill="auto"/>
          </w:tcPr>
          <w:p w14:paraId="321366EF" w14:textId="07602EC5" w:rsidR="003B2C3F" w:rsidRPr="00C64973" w:rsidRDefault="00695792" w:rsidP="00D70640">
            <w:pPr>
              <w:spacing w:after="0" w:line="288" w:lineRule="auto"/>
              <w:jc w:val="center"/>
              <w:rPr>
                <w:b/>
              </w:rPr>
            </w:pPr>
            <w:r w:rsidRPr="00C64973">
              <w:rPr>
                <w:b/>
              </w:rPr>
              <w:t>180</w:t>
            </w:r>
          </w:p>
        </w:tc>
      </w:tr>
    </w:tbl>
    <w:p w14:paraId="12842B6F" w14:textId="2D709C8B" w:rsidR="006E7845" w:rsidRPr="00C64973" w:rsidRDefault="000A1561" w:rsidP="000A1561">
      <w:pPr>
        <w:spacing w:line="288" w:lineRule="auto"/>
        <w:rPr>
          <w:bCs/>
          <w:noProof/>
          <w:sz w:val="20"/>
        </w:rPr>
      </w:pPr>
      <w:r w:rsidRPr="00C64973">
        <w:rPr>
          <w:bCs/>
          <w:noProof/>
          <w:sz w:val="20"/>
        </w:rPr>
        <w:t xml:space="preserve">The data for </w:t>
      </w:r>
      <w:r w:rsidR="00723F4D" w:rsidRPr="00C64973">
        <w:rPr>
          <w:bCs/>
          <w:noProof/>
          <w:sz w:val="20"/>
        </w:rPr>
        <w:t>TVI</w:t>
      </w:r>
      <w:r w:rsidRPr="00C64973">
        <w:rPr>
          <w:bCs/>
          <w:noProof/>
          <w:sz w:val="20"/>
        </w:rPr>
        <w:t xml:space="preserve">s reached a peak in 2009 then declined through 2011.  It increased in 2012 and continued to rise before decreasing by 10 in 2017 and again by 1 in 2018. The data for COMS reached a peak in 2016 at 67 and the low point in 2011 at 39. In 2018 there are 105 enrolled in the </w:t>
      </w:r>
      <w:r w:rsidR="00723F4D" w:rsidRPr="00C64973">
        <w:rPr>
          <w:bCs/>
          <w:noProof/>
          <w:sz w:val="20"/>
        </w:rPr>
        <w:t>TVI</w:t>
      </w:r>
      <w:r w:rsidRPr="00C64973">
        <w:rPr>
          <w:bCs/>
          <w:noProof/>
          <w:sz w:val="20"/>
        </w:rPr>
        <w:t xml:space="preserve"> programs and 59 in the O&amp;M programs.</w:t>
      </w:r>
    </w:p>
    <w:p w14:paraId="2FBF170A" w14:textId="0045B253" w:rsidR="00D666B7" w:rsidRDefault="00D666B7" w:rsidP="002023F1">
      <w:pPr>
        <w:spacing w:line="288" w:lineRule="auto"/>
        <w:rPr>
          <w:bCs/>
          <w:noProof/>
          <w:sz w:val="20"/>
        </w:rPr>
      </w:pPr>
    </w:p>
    <w:p w14:paraId="60DBAB36" w14:textId="6465C839" w:rsidR="002023F1" w:rsidRDefault="002023F1" w:rsidP="002023F1">
      <w:pPr>
        <w:spacing w:line="288" w:lineRule="auto"/>
        <w:rPr>
          <w:noProof/>
          <w:sz w:val="20"/>
        </w:rPr>
      </w:pPr>
      <w:r w:rsidRPr="00C64973">
        <w:rPr>
          <w:bCs/>
          <w:noProof/>
          <w:sz w:val="20"/>
        </w:rPr>
        <w:t>Graph 8</w:t>
      </w:r>
      <w:r w:rsidR="000A1561" w:rsidRPr="00C64973">
        <w:rPr>
          <w:bCs/>
          <w:noProof/>
          <w:sz w:val="20"/>
        </w:rPr>
        <w:t>:</w:t>
      </w:r>
      <w:r w:rsidRPr="00C64973">
        <w:rPr>
          <w:sz w:val="20"/>
        </w:rPr>
        <w:t xml:space="preserve"> Number of Individuals Registered for Courses in Fall of Each Year</w:t>
      </w:r>
      <w:r w:rsidRPr="00C64973">
        <w:rPr>
          <w:noProof/>
          <w:sz w:val="20"/>
        </w:rPr>
        <w:t xml:space="preserve"> </w:t>
      </w:r>
    </w:p>
    <w:p w14:paraId="31793444" w14:textId="06801089" w:rsidR="00D666B7" w:rsidRPr="00C64973" w:rsidRDefault="00D666B7" w:rsidP="002023F1">
      <w:pPr>
        <w:spacing w:line="288" w:lineRule="auto"/>
        <w:rPr>
          <w:bCs/>
          <w:noProof/>
          <w:sz w:val="20"/>
        </w:rPr>
      </w:pPr>
      <w:r w:rsidRPr="00D666B7">
        <w:rPr>
          <w:bCs/>
          <w:noProof/>
          <w:sz w:val="20"/>
        </w:rPr>
        <w:t>The data for TVI enrollment steadily increased before reaching a peak in 2016 at 116. Total number of TVIs registered decreased over the next 3 years before increasing to 112 in 2020. The data for COMS shows the lowest number in 2011 at 39 and the peak this year with 68 registered for classes.</w:t>
      </w:r>
    </w:p>
    <w:tbl>
      <w:tblPr>
        <w:tblW w:w="0" w:type="auto"/>
        <w:tblLook w:val="04A0" w:firstRow="1" w:lastRow="0" w:firstColumn="1" w:lastColumn="0" w:noHBand="0" w:noVBand="1"/>
      </w:tblPr>
      <w:tblGrid>
        <w:gridCol w:w="816"/>
        <w:gridCol w:w="222"/>
        <w:gridCol w:w="222"/>
        <w:gridCol w:w="661"/>
        <w:gridCol w:w="661"/>
        <w:gridCol w:w="661"/>
        <w:gridCol w:w="661"/>
        <w:gridCol w:w="661"/>
        <w:gridCol w:w="661"/>
        <w:gridCol w:w="661"/>
        <w:gridCol w:w="661"/>
        <w:gridCol w:w="661"/>
        <w:gridCol w:w="661"/>
        <w:gridCol w:w="661"/>
      </w:tblGrid>
      <w:tr w:rsidR="00D666B7" w:rsidRPr="00D666B7" w14:paraId="33940619" w14:textId="77777777" w:rsidTr="00D666B7">
        <w:trPr>
          <w:trHeight w:val="360"/>
        </w:trPr>
        <w:tc>
          <w:tcPr>
            <w:tcW w:w="0" w:type="auto"/>
            <w:tcBorders>
              <w:top w:val="nil"/>
              <w:left w:val="nil"/>
              <w:bottom w:val="nil"/>
              <w:right w:val="nil"/>
            </w:tcBorders>
            <w:shd w:val="clear" w:color="FFFF00" w:fill="FFFF00"/>
            <w:vAlign w:val="bottom"/>
            <w:hideMark/>
          </w:tcPr>
          <w:p w14:paraId="1AD7857D" w14:textId="63890558" w:rsidR="00D666B7" w:rsidRPr="00D666B7" w:rsidRDefault="00D666B7" w:rsidP="00D666B7">
            <w:pPr>
              <w:spacing w:after="0" w:line="240" w:lineRule="auto"/>
              <w:rPr>
                <w:rFonts w:cs="Arial"/>
                <w:sz w:val="20"/>
              </w:rPr>
            </w:pPr>
            <w:bookmarkStart w:id="124" w:name="_Toc61607317"/>
          </w:p>
        </w:tc>
        <w:tc>
          <w:tcPr>
            <w:tcW w:w="0" w:type="auto"/>
            <w:tcBorders>
              <w:top w:val="nil"/>
              <w:left w:val="nil"/>
              <w:bottom w:val="nil"/>
              <w:right w:val="nil"/>
            </w:tcBorders>
            <w:shd w:val="clear" w:color="auto" w:fill="auto"/>
            <w:noWrap/>
            <w:vAlign w:val="bottom"/>
            <w:hideMark/>
          </w:tcPr>
          <w:p w14:paraId="5928D311" w14:textId="77777777"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0E361808"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C44B11D" w14:textId="77777777" w:rsidR="00D666B7" w:rsidRPr="00D666B7" w:rsidRDefault="00D666B7" w:rsidP="00D666B7">
            <w:pPr>
              <w:spacing w:after="0" w:line="240" w:lineRule="auto"/>
              <w:jc w:val="right"/>
              <w:rPr>
                <w:rFonts w:cs="Arial"/>
                <w:sz w:val="20"/>
              </w:rPr>
            </w:pPr>
            <w:r w:rsidRPr="00D666B7">
              <w:rPr>
                <w:rFonts w:cs="Arial"/>
                <w:sz w:val="20"/>
              </w:rPr>
              <w:t>2010</w:t>
            </w:r>
          </w:p>
        </w:tc>
        <w:tc>
          <w:tcPr>
            <w:tcW w:w="0" w:type="auto"/>
            <w:tcBorders>
              <w:top w:val="nil"/>
              <w:left w:val="nil"/>
              <w:bottom w:val="nil"/>
              <w:right w:val="nil"/>
            </w:tcBorders>
            <w:shd w:val="clear" w:color="auto" w:fill="auto"/>
            <w:noWrap/>
            <w:vAlign w:val="bottom"/>
            <w:hideMark/>
          </w:tcPr>
          <w:p w14:paraId="024B86F2" w14:textId="7D2A20FB" w:rsidR="00D666B7" w:rsidRPr="00D666B7" w:rsidRDefault="00D666B7" w:rsidP="00D666B7">
            <w:pPr>
              <w:spacing w:after="0" w:line="240" w:lineRule="auto"/>
              <w:jc w:val="right"/>
              <w:rPr>
                <w:rFonts w:cs="Arial"/>
                <w:sz w:val="20"/>
              </w:rPr>
            </w:pPr>
            <w:r w:rsidRPr="00D666B7">
              <w:rPr>
                <w:rFonts w:cs="Arial"/>
                <w:sz w:val="20"/>
              </w:rPr>
              <w:t>2011</w:t>
            </w:r>
          </w:p>
        </w:tc>
        <w:tc>
          <w:tcPr>
            <w:tcW w:w="0" w:type="auto"/>
            <w:tcBorders>
              <w:top w:val="nil"/>
              <w:left w:val="nil"/>
              <w:bottom w:val="nil"/>
              <w:right w:val="nil"/>
            </w:tcBorders>
            <w:shd w:val="clear" w:color="auto" w:fill="auto"/>
            <w:noWrap/>
            <w:vAlign w:val="bottom"/>
            <w:hideMark/>
          </w:tcPr>
          <w:p w14:paraId="2684AA7D" w14:textId="0F89535F" w:rsidR="00D666B7" w:rsidRPr="00D666B7" w:rsidRDefault="00D666B7" w:rsidP="00D666B7">
            <w:pPr>
              <w:spacing w:after="0" w:line="240" w:lineRule="auto"/>
              <w:jc w:val="right"/>
              <w:rPr>
                <w:rFonts w:cs="Arial"/>
                <w:sz w:val="20"/>
              </w:rPr>
            </w:pPr>
            <w:r w:rsidRPr="00D666B7">
              <w:rPr>
                <w:rFonts w:cs="Arial"/>
                <w:sz w:val="20"/>
              </w:rPr>
              <w:t>2012</w:t>
            </w:r>
          </w:p>
        </w:tc>
        <w:tc>
          <w:tcPr>
            <w:tcW w:w="0" w:type="auto"/>
            <w:tcBorders>
              <w:top w:val="nil"/>
              <w:left w:val="nil"/>
              <w:bottom w:val="nil"/>
              <w:right w:val="nil"/>
            </w:tcBorders>
            <w:shd w:val="clear" w:color="auto" w:fill="auto"/>
            <w:noWrap/>
            <w:vAlign w:val="bottom"/>
            <w:hideMark/>
          </w:tcPr>
          <w:p w14:paraId="4A8D3635" w14:textId="26DD3ADA" w:rsidR="00D666B7" w:rsidRPr="00D666B7" w:rsidRDefault="00D666B7" w:rsidP="00D666B7">
            <w:pPr>
              <w:spacing w:after="0" w:line="240" w:lineRule="auto"/>
              <w:jc w:val="right"/>
              <w:rPr>
                <w:rFonts w:cs="Arial"/>
                <w:sz w:val="20"/>
              </w:rPr>
            </w:pPr>
            <w:r w:rsidRPr="00D666B7">
              <w:rPr>
                <w:rFonts w:cs="Arial"/>
                <w:sz w:val="20"/>
              </w:rPr>
              <w:t>2013</w:t>
            </w:r>
          </w:p>
        </w:tc>
        <w:tc>
          <w:tcPr>
            <w:tcW w:w="0" w:type="auto"/>
            <w:tcBorders>
              <w:top w:val="nil"/>
              <w:left w:val="nil"/>
              <w:bottom w:val="nil"/>
              <w:right w:val="nil"/>
            </w:tcBorders>
            <w:shd w:val="clear" w:color="auto" w:fill="auto"/>
            <w:noWrap/>
            <w:vAlign w:val="bottom"/>
            <w:hideMark/>
          </w:tcPr>
          <w:p w14:paraId="266573F6" w14:textId="0FE428AF" w:rsidR="00D666B7" w:rsidRPr="00D666B7" w:rsidRDefault="00D666B7" w:rsidP="00D666B7">
            <w:pPr>
              <w:spacing w:after="0" w:line="240" w:lineRule="auto"/>
              <w:jc w:val="right"/>
              <w:rPr>
                <w:rFonts w:cs="Arial"/>
                <w:sz w:val="20"/>
              </w:rPr>
            </w:pPr>
            <w:r w:rsidRPr="00D666B7">
              <w:rPr>
                <w:rFonts w:cs="Arial"/>
                <w:sz w:val="20"/>
              </w:rPr>
              <w:t>2014</w:t>
            </w:r>
          </w:p>
        </w:tc>
        <w:tc>
          <w:tcPr>
            <w:tcW w:w="0" w:type="auto"/>
            <w:tcBorders>
              <w:top w:val="nil"/>
              <w:left w:val="nil"/>
              <w:bottom w:val="nil"/>
              <w:right w:val="nil"/>
            </w:tcBorders>
            <w:shd w:val="clear" w:color="auto" w:fill="auto"/>
            <w:noWrap/>
            <w:vAlign w:val="bottom"/>
            <w:hideMark/>
          </w:tcPr>
          <w:p w14:paraId="1D1E5CA4" w14:textId="77777777" w:rsidR="00D666B7" w:rsidRPr="00D666B7" w:rsidRDefault="00D666B7" w:rsidP="00D666B7">
            <w:pPr>
              <w:spacing w:after="0" w:line="240" w:lineRule="auto"/>
              <w:jc w:val="right"/>
              <w:rPr>
                <w:rFonts w:cs="Arial"/>
                <w:sz w:val="20"/>
              </w:rPr>
            </w:pPr>
            <w:r w:rsidRPr="00D666B7">
              <w:rPr>
                <w:rFonts w:cs="Arial"/>
                <w:sz w:val="20"/>
              </w:rPr>
              <w:t>2015</w:t>
            </w:r>
          </w:p>
        </w:tc>
        <w:tc>
          <w:tcPr>
            <w:tcW w:w="0" w:type="auto"/>
            <w:tcBorders>
              <w:top w:val="nil"/>
              <w:left w:val="nil"/>
              <w:bottom w:val="nil"/>
              <w:right w:val="nil"/>
            </w:tcBorders>
            <w:shd w:val="clear" w:color="auto" w:fill="auto"/>
            <w:noWrap/>
            <w:vAlign w:val="bottom"/>
            <w:hideMark/>
          </w:tcPr>
          <w:p w14:paraId="30D4C2DD" w14:textId="77777777" w:rsidR="00D666B7" w:rsidRPr="00D666B7" w:rsidRDefault="00D666B7" w:rsidP="00D666B7">
            <w:pPr>
              <w:spacing w:after="0" w:line="240" w:lineRule="auto"/>
              <w:jc w:val="right"/>
              <w:rPr>
                <w:rFonts w:cs="Arial"/>
                <w:sz w:val="20"/>
              </w:rPr>
            </w:pPr>
            <w:r w:rsidRPr="00D666B7">
              <w:rPr>
                <w:rFonts w:cs="Arial"/>
                <w:sz w:val="20"/>
              </w:rPr>
              <w:t>2016</w:t>
            </w:r>
          </w:p>
        </w:tc>
        <w:tc>
          <w:tcPr>
            <w:tcW w:w="0" w:type="auto"/>
            <w:tcBorders>
              <w:top w:val="nil"/>
              <w:left w:val="nil"/>
              <w:bottom w:val="nil"/>
              <w:right w:val="nil"/>
            </w:tcBorders>
            <w:shd w:val="clear" w:color="auto" w:fill="auto"/>
            <w:noWrap/>
            <w:vAlign w:val="bottom"/>
            <w:hideMark/>
          </w:tcPr>
          <w:p w14:paraId="6D447678" w14:textId="77777777" w:rsidR="00D666B7" w:rsidRPr="00D666B7" w:rsidRDefault="00D666B7" w:rsidP="00D666B7">
            <w:pPr>
              <w:spacing w:after="0" w:line="240" w:lineRule="auto"/>
              <w:jc w:val="right"/>
              <w:rPr>
                <w:rFonts w:cs="Arial"/>
                <w:sz w:val="20"/>
              </w:rPr>
            </w:pPr>
            <w:r w:rsidRPr="00D666B7">
              <w:rPr>
                <w:rFonts w:cs="Arial"/>
                <w:sz w:val="20"/>
              </w:rPr>
              <w:t>2017</w:t>
            </w:r>
          </w:p>
        </w:tc>
        <w:tc>
          <w:tcPr>
            <w:tcW w:w="0" w:type="auto"/>
            <w:tcBorders>
              <w:top w:val="nil"/>
              <w:left w:val="nil"/>
              <w:bottom w:val="nil"/>
              <w:right w:val="nil"/>
            </w:tcBorders>
            <w:shd w:val="clear" w:color="auto" w:fill="auto"/>
            <w:noWrap/>
            <w:vAlign w:val="bottom"/>
            <w:hideMark/>
          </w:tcPr>
          <w:p w14:paraId="7681BFCB" w14:textId="77777777" w:rsidR="00D666B7" w:rsidRPr="00D666B7" w:rsidRDefault="00D666B7" w:rsidP="00D666B7">
            <w:pPr>
              <w:spacing w:after="0" w:line="240" w:lineRule="auto"/>
              <w:jc w:val="right"/>
              <w:rPr>
                <w:rFonts w:cs="Arial"/>
                <w:sz w:val="20"/>
              </w:rPr>
            </w:pPr>
            <w:r w:rsidRPr="00D666B7">
              <w:rPr>
                <w:rFonts w:cs="Arial"/>
                <w:sz w:val="20"/>
              </w:rPr>
              <w:t>2018</w:t>
            </w:r>
          </w:p>
        </w:tc>
        <w:tc>
          <w:tcPr>
            <w:tcW w:w="0" w:type="auto"/>
            <w:tcBorders>
              <w:top w:val="nil"/>
              <w:left w:val="nil"/>
              <w:bottom w:val="nil"/>
              <w:right w:val="nil"/>
            </w:tcBorders>
            <w:shd w:val="clear" w:color="auto" w:fill="auto"/>
            <w:noWrap/>
            <w:vAlign w:val="bottom"/>
            <w:hideMark/>
          </w:tcPr>
          <w:p w14:paraId="6AA7C5A8"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2019</w:t>
            </w:r>
          </w:p>
        </w:tc>
        <w:tc>
          <w:tcPr>
            <w:tcW w:w="0" w:type="auto"/>
            <w:tcBorders>
              <w:top w:val="nil"/>
              <w:left w:val="nil"/>
              <w:bottom w:val="nil"/>
              <w:right w:val="nil"/>
            </w:tcBorders>
            <w:shd w:val="clear" w:color="auto" w:fill="auto"/>
            <w:noWrap/>
            <w:vAlign w:val="bottom"/>
            <w:hideMark/>
          </w:tcPr>
          <w:p w14:paraId="4156A210"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2020</w:t>
            </w:r>
          </w:p>
        </w:tc>
      </w:tr>
      <w:tr w:rsidR="00D666B7" w:rsidRPr="00D666B7" w14:paraId="2038586C" w14:textId="77777777" w:rsidTr="00D666B7">
        <w:trPr>
          <w:trHeight w:val="255"/>
        </w:trPr>
        <w:tc>
          <w:tcPr>
            <w:tcW w:w="0" w:type="auto"/>
            <w:tcBorders>
              <w:top w:val="nil"/>
              <w:left w:val="nil"/>
              <w:bottom w:val="nil"/>
              <w:right w:val="nil"/>
            </w:tcBorders>
            <w:shd w:val="clear" w:color="auto" w:fill="auto"/>
            <w:vAlign w:val="bottom"/>
            <w:hideMark/>
          </w:tcPr>
          <w:p w14:paraId="50BAAF18" w14:textId="77777777" w:rsidR="00D666B7" w:rsidRPr="00D666B7" w:rsidRDefault="00D666B7" w:rsidP="00D666B7">
            <w:pPr>
              <w:spacing w:after="0" w:line="240" w:lineRule="auto"/>
              <w:rPr>
                <w:rFonts w:cs="Arial"/>
                <w:sz w:val="20"/>
              </w:rPr>
            </w:pPr>
            <w:r w:rsidRPr="00D666B7">
              <w:rPr>
                <w:rFonts w:cs="Arial"/>
                <w:sz w:val="20"/>
              </w:rPr>
              <w:t>TVI</w:t>
            </w:r>
          </w:p>
        </w:tc>
        <w:tc>
          <w:tcPr>
            <w:tcW w:w="0" w:type="auto"/>
            <w:tcBorders>
              <w:top w:val="nil"/>
              <w:left w:val="nil"/>
              <w:bottom w:val="nil"/>
              <w:right w:val="nil"/>
            </w:tcBorders>
            <w:shd w:val="clear" w:color="auto" w:fill="auto"/>
            <w:noWrap/>
            <w:vAlign w:val="bottom"/>
            <w:hideMark/>
          </w:tcPr>
          <w:p w14:paraId="24DC0689" w14:textId="77777777"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27F36EF1"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0F3DDBB"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88</w:t>
            </w:r>
          </w:p>
        </w:tc>
        <w:tc>
          <w:tcPr>
            <w:tcW w:w="0" w:type="auto"/>
            <w:tcBorders>
              <w:top w:val="nil"/>
              <w:left w:val="nil"/>
              <w:bottom w:val="nil"/>
              <w:right w:val="nil"/>
            </w:tcBorders>
            <w:shd w:val="clear" w:color="auto" w:fill="auto"/>
            <w:noWrap/>
            <w:vAlign w:val="bottom"/>
            <w:hideMark/>
          </w:tcPr>
          <w:p w14:paraId="668E2207" w14:textId="0DDB9327" w:rsidR="00D666B7" w:rsidRPr="00D666B7" w:rsidRDefault="00D666B7" w:rsidP="00D666B7">
            <w:pPr>
              <w:spacing w:after="0" w:line="240" w:lineRule="auto"/>
              <w:jc w:val="right"/>
              <w:rPr>
                <w:rFonts w:cs="Arial"/>
                <w:color w:val="000000"/>
                <w:sz w:val="20"/>
              </w:rPr>
            </w:pPr>
            <w:r w:rsidRPr="00D666B7">
              <w:rPr>
                <w:rFonts w:cs="Arial"/>
                <w:color w:val="000000"/>
                <w:sz w:val="20"/>
              </w:rPr>
              <w:t>73</w:t>
            </w:r>
          </w:p>
        </w:tc>
        <w:tc>
          <w:tcPr>
            <w:tcW w:w="0" w:type="auto"/>
            <w:tcBorders>
              <w:top w:val="nil"/>
              <w:left w:val="nil"/>
              <w:bottom w:val="nil"/>
              <w:right w:val="nil"/>
            </w:tcBorders>
            <w:shd w:val="clear" w:color="auto" w:fill="auto"/>
            <w:noWrap/>
            <w:vAlign w:val="bottom"/>
            <w:hideMark/>
          </w:tcPr>
          <w:p w14:paraId="75BC513D" w14:textId="376CE567" w:rsidR="00D666B7" w:rsidRPr="00D666B7" w:rsidRDefault="00D666B7" w:rsidP="00D666B7">
            <w:pPr>
              <w:spacing w:after="0" w:line="240" w:lineRule="auto"/>
              <w:jc w:val="right"/>
              <w:rPr>
                <w:rFonts w:cs="Arial"/>
                <w:color w:val="000000"/>
                <w:sz w:val="20"/>
              </w:rPr>
            </w:pPr>
            <w:r w:rsidRPr="00D666B7">
              <w:rPr>
                <w:rFonts w:cs="Arial"/>
                <w:color w:val="000000"/>
                <w:sz w:val="20"/>
              </w:rPr>
              <w:t>94</w:t>
            </w:r>
          </w:p>
        </w:tc>
        <w:tc>
          <w:tcPr>
            <w:tcW w:w="0" w:type="auto"/>
            <w:tcBorders>
              <w:top w:val="nil"/>
              <w:left w:val="nil"/>
              <w:bottom w:val="nil"/>
              <w:right w:val="nil"/>
            </w:tcBorders>
            <w:shd w:val="clear" w:color="auto" w:fill="auto"/>
            <w:noWrap/>
            <w:vAlign w:val="bottom"/>
            <w:hideMark/>
          </w:tcPr>
          <w:p w14:paraId="5485842D" w14:textId="6D6966DA" w:rsidR="00D666B7" w:rsidRPr="00D666B7" w:rsidRDefault="00D666B7" w:rsidP="00D666B7">
            <w:pPr>
              <w:spacing w:after="0" w:line="240" w:lineRule="auto"/>
              <w:jc w:val="right"/>
              <w:rPr>
                <w:rFonts w:cs="Arial"/>
                <w:color w:val="000000"/>
                <w:sz w:val="20"/>
              </w:rPr>
            </w:pPr>
            <w:r w:rsidRPr="00D666B7">
              <w:rPr>
                <w:rFonts w:cs="Arial"/>
                <w:color w:val="000000"/>
                <w:sz w:val="20"/>
              </w:rPr>
              <w:t>94</w:t>
            </w:r>
          </w:p>
        </w:tc>
        <w:tc>
          <w:tcPr>
            <w:tcW w:w="0" w:type="auto"/>
            <w:tcBorders>
              <w:top w:val="nil"/>
              <w:left w:val="nil"/>
              <w:bottom w:val="nil"/>
              <w:right w:val="nil"/>
            </w:tcBorders>
            <w:shd w:val="clear" w:color="auto" w:fill="auto"/>
            <w:noWrap/>
            <w:vAlign w:val="bottom"/>
            <w:hideMark/>
          </w:tcPr>
          <w:p w14:paraId="212C854C" w14:textId="0CD6D174" w:rsidR="00D666B7" w:rsidRPr="00D666B7" w:rsidRDefault="00D666B7" w:rsidP="00D666B7">
            <w:pPr>
              <w:spacing w:after="0" w:line="240" w:lineRule="auto"/>
              <w:jc w:val="right"/>
              <w:rPr>
                <w:rFonts w:cs="Arial"/>
                <w:color w:val="000000"/>
                <w:sz w:val="20"/>
              </w:rPr>
            </w:pPr>
            <w:r w:rsidRPr="00C64973">
              <w:rPr>
                <w:bCs/>
                <w:noProof/>
                <w:sz w:val="20"/>
              </w:rPr>
              <w:drawing>
                <wp:anchor distT="0" distB="0" distL="114300" distR="114300" simplePos="0" relativeHeight="251758080" behindDoc="0" locked="0" layoutInCell="1" allowOverlap="1" wp14:anchorId="1F64CEA5" wp14:editId="30C3756C">
                  <wp:simplePos x="0" y="0"/>
                  <wp:positionH relativeFrom="margin">
                    <wp:posOffset>-2830195</wp:posOffset>
                  </wp:positionH>
                  <wp:positionV relativeFrom="margin">
                    <wp:posOffset>-1457960</wp:posOffset>
                  </wp:positionV>
                  <wp:extent cx="7093585" cy="2794000"/>
                  <wp:effectExtent l="0" t="0" r="0" b="635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93585" cy="2794000"/>
                          </a:xfrm>
                          <a:prstGeom prst="rect">
                            <a:avLst/>
                          </a:prstGeom>
                          <a:noFill/>
                        </pic:spPr>
                      </pic:pic>
                    </a:graphicData>
                  </a:graphic>
                  <wp14:sizeRelH relativeFrom="margin">
                    <wp14:pctWidth>0</wp14:pctWidth>
                  </wp14:sizeRelH>
                  <wp14:sizeRelV relativeFrom="margin">
                    <wp14:pctHeight>0</wp14:pctHeight>
                  </wp14:sizeRelV>
                </wp:anchor>
              </w:drawing>
            </w:r>
            <w:r w:rsidRPr="00D666B7">
              <w:rPr>
                <w:rFonts w:cs="Arial"/>
                <w:color w:val="000000"/>
                <w:sz w:val="20"/>
              </w:rPr>
              <w:t>102</w:t>
            </w:r>
          </w:p>
        </w:tc>
        <w:tc>
          <w:tcPr>
            <w:tcW w:w="0" w:type="auto"/>
            <w:tcBorders>
              <w:top w:val="nil"/>
              <w:left w:val="nil"/>
              <w:bottom w:val="nil"/>
              <w:right w:val="nil"/>
            </w:tcBorders>
            <w:shd w:val="clear" w:color="auto" w:fill="auto"/>
            <w:noWrap/>
            <w:vAlign w:val="bottom"/>
            <w:hideMark/>
          </w:tcPr>
          <w:p w14:paraId="44026B02" w14:textId="033EE80F" w:rsidR="00D666B7" w:rsidRPr="00D666B7" w:rsidRDefault="00D666B7" w:rsidP="00D666B7">
            <w:pPr>
              <w:spacing w:after="0" w:line="240" w:lineRule="auto"/>
              <w:jc w:val="right"/>
              <w:rPr>
                <w:rFonts w:cs="Arial"/>
                <w:color w:val="000000"/>
                <w:sz w:val="20"/>
              </w:rPr>
            </w:pPr>
            <w:r w:rsidRPr="00D666B7">
              <w:rPr>
                <w:rFonts w:cs="Arial"/>
                <w:color w:val="000000"/>
                <w:sz w:val="20"/>
              </w:rPr>
              <w:t>106</w:t>
            </w:r>
          </w:p>
        </w:tc>
        <w:tc>
          <w:tcPr>
            <w:tcW w:w="0" w:type="auto"/>
            <w:tcBorders>
              <w:top w:val="nil"/>
              <w:left w:val="nil"/>
              <w:bottom w:val="nil"/>
              <w:right w:val="nil"/>
            </w:tcBorders>
            <w:shd w:val="clear" w:color="auto" w:fill="auto"/>
            <w:noWrap/>
            <w:vAlign w:val="bottom"/>
            <w:hideMark/>
          </w:tcPr>
          <w:p w14:paraId="2BD0009F"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116</w:t>
            </w:r>
          </w:p>
        </w:tc>
        <w:tc>
          <w:tcPr>
            <w:tcW w:w="0" w:type="auto"/>
            <w:tcBorders>
              <w:top w:val="nil"/>
              <w:left w:val="nil"/>
              <w:bottom w:val="nil"/>
              <w:right w:val="nil"/>
            </w:tcBorders>
            <w:shd w:val="clear" w:color="auto" w:fill="auto"/>
            <w:noWrap/>
            <w:vAlign w:val="bottom"/>
            <w:hideMark/>
          </w:tcPr>
          <w:p w14:paraId="65B4A5E2"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106</w:t>
            </w:r>
          </w:p>
        </w:tc>
        <w:tc>
          <w:tcPr>
            <w:tcW w:w="0" w:type="auto"/>
            <w:tcBorders>
              <w:top w:val="nil"/>
              <w:left w:val="nil"/>
              <w:bottom w:val="nil"/>
              <w:right w:val="nil"/>
            </w:tcBorders>
            <w:shd w:val="clear" w:color="auto" w:fill="auto"/>
            <w:noWrap/>
            <w:vAlign w:val="bottom"/>
            <w:hideMark/>
          </w:tcPr>
          <w:p w14:paraId="5E4CABF0"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105</w:t>
            </w:r>
          </w:p>
        </w:tc>
        <w:tc>
          <w:tcPr>
            <w:tcW w:w="0" w:type="auto"/>
            <w:tcBorders>
              <w:top w:val="nil"/>
              <w:left w:val="nil"/>
              <w:bottom w:val="nil"/>
              <w:right w:val="nil"/>
            </w:tcBorders>
            <w:shd w:val="clear" w:color="auto" w:fill="auto"/>
            <w:noWrap/>
            <w:vAlign w:val="bottom"/>
            <w:hideMark/>
          </w:tcPr>
          <w:p w14:paraId="3E6CF20D"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96</w:t>
            </w:r>
          </w:p>
        </w:tc>
        <w:tc>
          <w:tcPr>
            <w:tcW w:w="0" w:type="auto"/>
            <w:tcBorders>
              <w:top w:val="nil"/>
              <w:left w:val="nil"/>
              <w:bottom w:val="nil"/>
              <w:right w:val="nil"/>
            </w:tcBorders>
            <w:shd w:val="clear" w:color="auto" w:fill="auto"/>
            <w:noWrap/>
            <w:vAlign w:val="bottom"/>
            <w:hideMark/>
          </w:tcPr>
          <w:p w14:paraId="748EAAB8"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112</w:t>
            </w:r>
          </w:p>
        </w:tc>
      </w:tr>
      <w:tr w:rsidR="00D666B7" w:rsidRPr="00D666B7" w14:paraId="7F478782" w14:textId="77777777" w:rsidTr="00D666B7">
        <w:trPr>
          <w:trHeight w:val="255"/>
        </w:trPr>
        <w:tc>
          <w:tcPr>
            <w:tcW w:w="0" w:type="auto"/>
            <w:tcBorders>
              <w:top w:val="nil"/>
              <w:left w:val="nil"/>
              <w:bottom w:val="nil"/>
              <w:right w:val="nil"/>
            </w:tcBorders>
            <w:shd w:val="clear" w:color="auto" w:fill="auto"/>
            <w:vAlign w:val="bottom"/>
            <w:hideMark/>
          </w:tcPr>
          <w:p w14:paraId="2CA4D937" w14:textId="77777777" w:rsidR="00D666B7" w:rsidRPr="00D666B7" w:rsidRDefault="00D666B7" w:rsidP="00D666B7">
            <w:pPr>
              <w:spacing w:after="0" w:line="240" w:lineRule="auto"/>
              <w:rPr>
                <w:rFonts w:cs="Arial"/>
                <w:sz w:val="20"/>
              </w:rPr>
            </w:pPr>
            <w:r w:rsidRPr="00D666B7">
              <w:rPr>
                <w:rFonts w:cs="Arial"/>
                <w:sz w:val="20"/>
              </w:rPr>
              <w:t>COMS</w:t>
            </w:r>
          </w:p>
        </w:tc>
        <w:tc>
          <w:tcPr>
            <w:tcW w:w="0" w:type="auto"/>
            <w:tcBorders>
              <w:top w:val="nil"/>
              <w:left w:val="nil"/>
              <w:bottom w:val="nil"/>
              <w:right w:val="nil"/>
            </w:tcBorders>
            <w:shd w:val="clear" w:color="auto" w:fill="auto"/>
            <w:noWrap/>
            <w:vAlign w:val="bottom"/>
            <w:hideMark/>
          </w:tcPr>
          <w:p w14:paraId="4B2DCC60" w14:textId="77777777"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7065DF6"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0A4F6D1A"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57</w:t>
            </w:r>
          </w:p>
        </w:tc>
        <w:tc>
          <w:tcPr>
            <w:tcW w:w="0" w:type="auto"/>
            <w:tcBorders>
              <w:top w:val="nil"/>
              <w:left w:val="nil"/>
              <w:bottom w:val="nil"/>
              <w:right w:val="nil"/>
            </w:tcBorders>
            <w:shd w:val="clear" w:color="auto" w:fill="auto"/>
            <w:noWrap/>
            <w:vAlign w:val="bottom"/>
            <w:hideMark/>
          </w:tcPr>
          <w:p w14:paraId="241943E8" w14:textId="07FFBD6D" w:rsidR="00D666B7" w:rsidRPr="00D666B7" w:rsidRDefault="00D666B7" w:rsidP="00D666B7">
            <w:pPr>
              <w:spacing w:after="0" w:line="240" w:lineRule="auto"/>
              <w:jc w:val="right"/>
              <w:rPr>
                <w:rFonts w:cs="Arial"/>
                <w:color w:val="000000"/>
                <w:sz w:val="20"/>
              </w:rPr>
            </w:pPr>
            <w:r w:rsidRPr="00D666B7">
              <w:rPr>
                <w:rFonts w:cs="Arial"/>
                <w:color w:val="000000"/>
                <w:sz w:val="20"/>
              </w:rPr>
              <w:t>39</w:t>
            </w:r>
          </w:p>
        </w:tc>
        <w:tc>
          <w:tcPr>
            <w:tcW w:w="0" w:type="auto"/>
            <w:tcBorders>
              <w:top w:val="nil"/>
              <w:left w:val="nil"/>
              <w:bottom w:val="nil"/>
              <w:right w:val="nil"/>
            </w:tcBorders>
            <w:shd w:val="clear" w:color="auto" w:fill="auto"/>
            <w:noWrap/>
            <w:vAlign w:val="bottom"/>
            <w:hideMark/>
          </w:tcPr>
          <w:p w14:paraId="784EDD5D"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43</w:t>
            </w:r>
          </w:p>
        </w:tc>
        <w:tc>
          <w:tcPr>
            <w:tcW w:w="0" w:type="auto"/>
            <w:tcBorders>
              <w:top w:val="nil"/>
              <w:left w:val="nil"/>
              <w:bottom w:val="nil"/>
              <w:right w:val="nil"/>
            </w:tcBorders>
            <w:shd w:val="clear" w:color="auto" w:fill="auto"/>
            <w:noWrap/>
            <w:vAlign w:val="bottom"/>
            <w:hideMark/>
          </w:tcPr>
          <w:p w14:paraId="048F40EF" w14:textId="48985588" w:rsidR="00D666B7" w:rsidRPr="00D666B7" w:rsidRDefault="00D666B7" w:rsidP="00D666B7">
            <w:pPr>
              <w:spacing w:after="0" w:line="240" w:lineRule="auto"/>
              <w:jc w:val="right"/>
              <w:rPr>
                <w:rFonts w:cs="Arial"/>
                <w:color w:val="000000"/>
                <w:sz w:val="20"/>
              </w:rPr>
            </w:pPr>
            <w:r w:rsidRPr="00D666B7">
              <w:rPr>
                <w:rFonts w:cs="Arial"/>
                <w:color w:val="000000"/>
                <w:sz w:val="20"/>
              </w:rPr>
              <w:t>50</w:t>
            </w:r>
          </w:p>
        </w:tc>
        <w:tc>
          <w:tcPr>
            <w:tcW w:w="0" w:type="auto"/>
            <w:tcBorders>
              <w:top w:val="nil"/>
              <w:left w:val="nil"/>
              <w:bottom w:val="nil"/>
              <w:right w:val="nil"/>
            </w:tcBorders>
            <w:shd w:val="clear" w:color="auto" w:fill="auto"/>
            <w:noWrap/>
            <w:vAlign w:val="bottom"/>
            <w:hideMark/>
          </w:tcPr>
          <w:p w14:paraId="06BAC5F4" w14:textId="4BD20178" w:rsidR="00D666B7" w:rsidRPr="00D666B7" w:rsidRDefault="00D666B7" w:rsidP="00D666B7">
            <w:pPr>
              <w:spacing w:after="0" w:line="240" w:lineRule="auto"/>
              <w:jc w:val="right"/>
              <w:rPr>
                <w:rFonts w:cs="Arial"/>
                <w:color w:val="000000"/>
                <w:sz w:val="20"/>
              </w:rPr>
            </w:pPr>
            <w:r w:rsidRPr="00D666B7">
              <w:rPr>
                <w:rFonts w:cs="Arial"/>
                <w:color w:val="000000"/>
                <w:sz w:val="20"/>
              </w:rPr>
              <w:t>46</w:t>
            </w:r>
          </w:p>
        </w:tc>
        <w:tc>
          <w:tcPr>
            <w:tcW w:w="0" w:type="auto"/>
            <w:tcBorders>
              <w:top w:val="nil"/>
              <w:left w:val="nil"/>
              <w:bottom w:val="nil"/>
              <w:right w:val="nil"/>
            </w:tcBorders>
            <w:shd w:val="clear" w:color="auto" w:fill="auto"/>
            <w:noWrap/>
            <w:vAlign w:val="bottom"/>
            <w:hideMark/>
          </w:tcPr>
          <w:p w14:paraId="4648CCCD" w14:textId="61D0723D" w:rsidR="00D666B7" w:rsidRPr="00D666B7" w:rsidRDefault="00D666B7" w:rsidP="00D666B7">
            <w:pPr>
              <w:spacing w:after="0" w:line="240" w:lineRule="auto"/>
              <w:jc w:val="right"/>
              <w:rPr>
                <w:rFonts w:cs="Arial"/>
                <w:color w:val="000000"/>
                <w:sz w:val="20"/>
              </w:rPr>
            </w:pPr>
            <w:r w:rsidRPr="00D666B7">
              <w:rPr>
                <w:rFonts w:cs="Arial"/>
                <w:color w:val="000000"/>
                <w:sz w:val="20"/>
              </w:rPr>
              <w:t>48</w:t>
            </w:r>
          </w:p>
        </w:tc>
        <w:tc>
          <w:tcPr>
            <w:tcW w:w="0" w:type="auto"/>
            <w:tcBorders>
              <w:top w:val="nil"/>
              <w:left w:val="nil"/>
              <w:bottom w:val="nil"/>
              <w:right w:val="nil"/>
            </w:tcBorders>
            <w:shd w:val="clear" w:color="auto" w:fill="auto"/>
            <w:noWrap/>
            <w:vAlign w:val="bottom"/>
            <w:hideMark/>
          </w:tcPr>
          <w:p w14:paraId="71E59FEC"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67</w:t>
            </w:r>
          </w:p>
        </w:tc>
        <w:tc>
          <w:tcPr>
            <w:tcW w:w="0" w:type="auto"/>
            <w:tcBorders>
              <w:top w:val="nil"/>
              <w:left w:val="nil"/>
              <w:bottom w:val="nil"/>
              <w:right w:val="nil"/>
            </w:tcBorders>
            <w:shd w:val="clear" w:color="auto" w:fill="auto"/>
            <w:noWrap/>
            <w:vAlign w:val="bottom"/>
            <w:hideMark/>
          </w:tcPr>
          <w:p w14:paraId="11351D91"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62</w:t>
            </w:r>
          </w:p>
        </w:tc>
        <w:tc>
          <w:tcPr>
            <w:tcW w:w="0" w:type="auto"/>
            <w:tcBorders>
              <w:top w:val="nil"/>
              <w:left w:val="nil"/>
              <w:bottom w:val="nil"/>
              <w:right w:val="nil"/>
            </w:tcBorders>
            <w:shd w:val="clear" w:color="auto" w:fill="auto"/>
            <w:noWrap/>
            <w:vAlign w:val="bottom"/>
            <w:hideMark/>
          </w:tcPr>
          <w:p w14:paraId="3DBC0ED4"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59</w:t>
            </w:r>
          </w:p>
        </w:tc>
        <w:tc>
          <w:tcPr>
            <w:tcW w:w="0" w:type="auto"/>
            <w:tcBorders>
              <w:top w:val="nil"/>
              <w:left w:val="nil"/>
              <w:bottom w:val="nil"/>
              <w:right w:val="nil"/>
            </w:tcBorders>
            <w:shd w:val="clear" w:color="auto" w:fill="auto"/>
            <w:noWrap/>
            <w:vAlign w:val="bottom"/>
            <w:hideMark/>
          </w:tcPr>
          <w:p w14:paraId="7291BBF8"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56</w:t>
            </w:r>
          </w:p>
        </w:tc>
        <w:tc>
          <w:tcPr>
            <w:tcW w:w="0" w:type="auto"/>
            <w:tcBorders>
              <w:top w:val="nil"/>
              <w:left w:val="nil"/>
              <w:bottom w:val="nil"/>
              <w:right w:val="nil"/>
            </w:tcBorders>
            <w:shd w:val="clear" w:color="auto" w:fill="auto"/>
            <w:noWrap/>
            <w:vAlign w:val="bottom"/>
            <w:hideMark/>
          </w:tcPr>
          <w:p w14:paraId="5BE51AF1"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68</w:t>
            </w:r>
          </w:p>
        </w:tc>
      </w:tr>
    </w:tbl>
    <w:p w14:paraId="42DBD8A0" w14:textId="1785AA21" w:rsidR="006950E1" w:rsidRDefault="006950E1" w:rsidP="00D838BC">
      <w:pPr>
        <w:pStyle w:val="Heading2"/>
      </w:pPr>
    </w:p>
    <w:p w14:paraId="7DDC7FBD" w14:textId="77777777" w:rsidR="00D666B7" w:rsidRPr="00D666B7" w:rsidRDefault="00D666B7" w:rsidP="00D666B7"/>
    <w:p w14:paraId="2784C864" w14:textId="40DBAA18" w:rsidR="00D838BC" w:rsidRPr="00C64973" w:rsidRDefault="00D838BC" w:rsidP="00D838BC">
      <w:pPr>
        <w:pStyle w:val="Heading2"/>
      </w:pPr>
      <w:r w:rsidRPr="00C64973">
        <w:t>Students completing Texas certification programs</w:t>
      </w:r>
      <w:bookmarkEnd w:id="124"/>
    </w:p>
    <w:p w14:paraId="7862E0AF" w14:textId="6C6049EF" w:rsidR="00D838BC" w:rsidRPr="00C64973" w:rsidRDefault="003800A2" w:rsidP="00D838BC">
      <w:pPr>
        <w:rPr>
          <w:b/>
          <w:i/>
        </w:rPr>
      </w:pPr>
      <w:r w:rsidRPr="00C64973">
        <w:rPr>
          <w:b/>
          <w:i/>
        </w:rPr>
        <w:t>Thirty-four</w:t>
      </w:r>
      <w:r w:rsidR="00D838BC" w:rsidRPr="00C64973">
        <w:rPr>
          <w:b/>
          <w:i/>
        </w:rPr>
        <w:t xml:space="preserve"> individu</w:t>
      </w:r>
      <w:r w:rsidRPr="00C64973">
        <w:rPr>
          <w:b/>
          <w:i/>
        </w:rPr>
        <w:t>als completed VI training and 15</w:t>
      </w:r>
      <w:r w:rsidR="00D838BC" w:rsidRPr="00C64973">
        <w:rPr>
          <w:b/>
          <w:i/>
        </w:rPr>
        <w:t xml:space="preserve"> com</w:t>
      </w:r>
      <w:r w:rsidRPr="00C64973">
        <w:rPr>
          <w:b/>
          <w:i/>
        </w:rPr>
        <w:t>pleted their O&amp;M program in 2020</w:t>
      </w:r>
      <w:r w:rsidR="003F588B" w:rsidRPr="00C64973">
        <w:rPr>
          <w:b/>
          <w:i/>
        </w:rPr>
        <w:t xml:space="preserve">, </w:t>
      </w:r>
      <w:r w:rsidR="00684283" w:rsidRPr="00C64973">
        <w:rPr>
          <w:b/>
          <w:i/>
        </w:rPr>
        <w:t xml:space="preserve">preparing </w:t>
      </w:r>
      <w:r w:rsidR="0054771B" w:rsidRPr="00C64973">
        <w:rPr>
          <w:b/>
          <w:i/>
        </w:rPr>
        <w:t xml:space="preserve">14% </w:t>
      </w:r>
      <w:r w:rsidR="003F588B" w:rsidRPr="00C64973">
        <w:rPr>
          <w:b/>
          <w:i/>
        </w:rPr>
        <w:t>fewer new VI professionals th</w:t>
      </w:r>
      <w:r w:rsidR="00B73177" w:rsidRPr="00C64973">
        <w:rPr>
          <w:b/>
          <w:i/>
        </w:rPr>
        <w:t>a</w:t>
      </w:r>
      <w:r w:rsidR="00F10614" w:rsidRPr="00C64973">
        <w:rPr>
          <w:b/>
          <w:i/>
        </w:rPr>
        <w:t>n the year before</w:t>
      </w:r>
      <w:r w:rsidR="003F588B" w:rsidRPr="00C64973">
        <w:rPr>
          <w:b/>
          <w:i/>
        </w:rPr>
        <w:t>.</w:t>
      </w:r>
    </w:p>
    <w:p w14:paraId="7AE2E0AA" w14:textId="0D136119" w:rsidR="00D14282" w:rsidRPr="00C64973" w:rsidRDefault="00D14282" w:rsidP="00D838BC">
      <w:pPr>
        <w:spacing w:line="288" w:lineRule="auto"/>
      </w:pPr>
      <w:r w:rsidRPr="00C64973">
        <w:t>As can be seen in Table 15 and the graph below, o</w:t>
      </w:r>
      <w:r w:rsidR="00E73FBC" w:rsidRPr="00C64973">
        <w:t>ver the past year, a total of 49</w:t>
      </w:r>
      <w:r w:rsidRPr="00C64973">
        <w:t xml:space="preserve"> Texas residents completed their certification programs. Thi</w:t>
      </w:r>
      <w:r w:rsidR="00745798">
        <w:t xml:space="preserve">s is another </w:t>
      </w:r>
      <w:r w:rsidR="00010D70" w:rsidRPr="00C64973">
        <w:t>significant drop</w:t>
      </w:r>
      <w:r w:rsidR="00861410">
        <w:t xml:space="preserve"> and is a concern</w:t>
      </w:r>
      <w:r w:rsidR="00010D70" w:rsidRPr="00C64973">
        <w:t xml:space="preserve"> </w:t>
      </w:r>
      <w:r w:rsidR="00861410">
        <w:t>after</w:t>
      </w:r>
      <w:r w:rsidR="00745798">
        <w:t xml:space="preserve"> the 30% decline in completers seen last year</w:t>
      </w:r>
      <w:r w:rsidRPr="00C64973">
        <w:t>, despite rising student numbers in the public schools.</w:t>
      </w:r>
    </w:p>
    <w:p w14:paraId="373FAB8C" w14:textId="20B47FA3" w:rsidR="008A5C25" w:rsidRPr="00C64973" w:rsidRDefault="00D14282" w:rsidP="00D838BC">
      <w:pPr>
        <w:spacing w:line="288" w:lineRule="auto"/>
      </w:pPr>
      <w:r w:rsidRPr="00C64973">
        <w:t>It should be noted that u</w:t>
      </w:r>
      <w:r w:rsidR="00D838BC" w:rsidRPr="00C64973">
        <w:t>nlike s</w:t>
      </w:r>
      <w:r w:rsidR="000E3ADA">
        <w:t xml:space="preserve">tudents seeking VI certification, </w:t>
      </w:r>
      <w:r w:rsidR="00D838BC" w:rsidRPr="00C64973">
        <w:t xml:space="preserve">who may be eligible to </w:t>
      </w:r>
      <w:r w:rsidR="003F588B" w:rsidRPr="00C64973">
        <w:t>work as a TVI under an emergency permit before completing their program</w:t>
      </w:r>
      <w:r w:rsidR="00D838BC" w:rsidRPr="00C64973">
        <w:t xml:space="preserve">, COMS candidates must complete their entire program </w:t>
      </w:r>
      <w:r w:rsidR="00ED7A0A" w:rsidRPr="00C64973">
        <w:t xml:space="preserve">and obtain certification </w:t>
      </w:r>
      <w:r w:rsidR="00D838BC" w:rsidRPr="00C64973">
        <w:t>before they can start working as an O&amp;M specialist</w:t>
      </w:r>
      <w:r w:rsidR="00ED7A0A" w:rsidRPr="00C64973">
        <w:t xml:space="preserve"> in Texas public schools</w:t>
      </w:r>
      <w:r w:rsidR="00D838BC" w:rsidRPr="00C64973">
        <w:t>.</w:t>
      </w:r>
      <w:r w:rsidR="00010D70" w:rsidRPr="00C64973">
        <w:t xml:space="preserve"> </w:t>
      </w:r>
      <w:r w:rsidR="00ED7A0A" w:rsidRPr="00C64973">
        <w:t>T</w:t>
      </w:r>
      <w:r w:rsidR="0054771B" w:rsidRPr="00C64973">
        <w:t>his</w:t>
      </w:r>
      <w:r w:rsidR="00010D70" w:rsidRPr="00C64973">
        <w:t xml:space="preserve"> is especially important to consider during the COVD-19 crisis when orientation</w:t>
      </w:r>
      <w:r w:rsidR="00745798">
        <w:t xml:space="preserve"> and mobility students may be</w:t>
      </w:r>
      <w:r w:rsidR="00010D70" w:rsidRPr="00C64973">
        <w:t xml:space="preserve"> unable to complete their internships, </w:t>
      </w:r>
      <w:r w:rsidR="009D1647" w:rsidRPr="00C64973">
        <w:t xml:space="preserve">their </w:t>
      </w:r>
      <w:r w:rsidR="00010D70" w:rsidRPr="00C64973">
        <w:t>university programs and, essentially, the certification process</w:t>
      </w:r>
      <w:r w:rsidR="0054771B" w:rsidRPr="00C64973">
        <w:t xml:space="preserve"> that</w:t>
      </w:r>
      <w:r w:rsidR="009D1647" w:rsidRPr="00C64973">
        <w:t xml:space="preserve"> would</w:t>
      </w:r>
      <w:r w:rsidR="0054771B" w:rsidRPr="00C64973">
        <w:t xml:space="preserve"> all</w:t>
      </w:r>
      <w:r w:rsidR="009D1647" w:rsidRPr="00C64973">
        <w:t>ow</w:t>
      </w:r>
      <w:r w:rsidR="0054771B" w:rsidRPr="00C64973">
        <w:t xml:space="preserve"> them to support </w:t>
      </w:r>
      <w:r w:rsidR="009D1647" w:rsidRPr="00C64973">
        <w:t>the growing number of s</w:t>
      </w:r>
      <w:r w:rsidR="0054771B" w:rsidRPr="00C64973">
        <w:t xml:space="preserve">tudents </w:t>
      </w:r>
      <w:r w:rsidR="009D1647" w:rsidRPr="00C64973">
        <w:t xml:space="preserve">eligible for orientation </w:t>
      </w:r>
      <w:r w:rsidR="00ED7A0A" w:rsidRPr="00C64973">
        <w:t>and mobility services.</w:t>
      </w:r>
    </w:p>
    <w:p w14:paraId="7ADFB910" w14:textId="0BF84E75" w:rsidR="00D838BC" w:rsidRPr="00C64973" w:rsidRDefault="0054771B" w:rsidP="00D838BC">
      <w:pPr>
        <w:spacing w:line="288" w:lineRule="auto"/>
      </w:pPr>
      <w:r w:rsidRPr="00C64973">
        <w:t xml:space="preserve">In addition, </w:t>
      </w:r>
      <w:r w:rsidR="00D838BC" w:rsidRPr="00C64973">
        <w:t xml:space="preserve">O&amp;M certification is a national certification and valid in any state. It is also applicable for all age </w:t>
      </w:r>
      <w:r w:rsidRPr="00C64973">
        <w:t>groups, not just for</w:t>
      </w:r>
      <w:r w:rsidR="00F07C14" w:rsidRPr="00C64973">
        <w:t xml:space="preserve"> the</w:t>
      </w:r>
      <w:r w:rsidR="009D1647" w:rsidRPr="00C64973">
        <w:t xml:space="preserve"> bi</w:t>
      </w:r>
      <w:r w:rsidR="000E3ADA">
        <w:t>rth through twenty-one</w:t>
      </w:r>
      <w:r w:rsidRPr="00C64973">
        <w:t xml:space="preserve"> </w:t>
      </w:r>
      <w:r w:rsidR="00F07C14" w:rsidRPr="00C64973">
        <w:t xml:space="preserve">population </w:t>
      </w:r>
      <w:r w:rsidRPr="00C64973">
        <w:t>served by the public school system</w:t>
      </w:r>
      <w:r w:rsidR="009D1647" w:rsidRPr="00C64973">
        <w:t xml:space="preserve"> in Texas</w:t>
      </w:r>
      <w:r w:rsidR="000122CD">
        <w:t xml:space="preserve">. It is hoped that </w:t>
      </w:r>
      <w:r w:rsidRPr="00C64973">
        <w:t>school districts</w:t>
      </w:r>
      <w:r w:rsidR="009D1647" w:rsidRPr="00C64973">
        <w:t xml:space="preserve"> </w:t>
      </w:r>
      <w:r w:rsidR="000122CD">
        <w:t xml:space="preserve">will be </w:t>
      </w:r>
      <w:r w:rsidRPr="00C64973">
        <w:t xml:space="preserve">able to </w:t>
      </w:r>
      <w:r w:rsidR="000122CD">
        <w:t xml:space="preserve">consistently </w:t>
      </w:r>
      <w:r w:rsidRPr="00C64973">
        <w:t>hire</w:t>
      </w:r>
      <w:r w:rsidR="00D838BC" w:rsidRPr="00C64973">
        <w:t xml:space="preserve"> g</w:t>
      </w:r>
      <w:r w:rsidR="000122CD">
        <w:t xml:space="preserve">raduating O&amp;M specialists, otherwise </w:t>
      </w:r>
      <w:r w:rsidR="009D1647" w:rsidRPr="00C64973">
        <w:t xml:space="preserve">positions </w:t>
      </w:r>
      <w:r w:rsidR="00D46292" w:rsidRPr="00C64973">
        <w:t>could be</w:t>
      </w:r>
      <w:r w:rsidR="009D1647" w:rsidRPr="00C64973">
        <w:t xml:space="preserve"> filled outside </w:t>
      </w:r>
      <w:r w:rsidR="00ED7A0A" w:rsidRPr="00C64973">
        <w:t xml:space="preserve">of </w:t>
      </w:r>
      <w:r w:rsidR="00D46292" w:rsidRPr="00C64973">
        <w:t>education and/or the state.</w:t>
      </w:r>
    </w:p>
    <w:p w14:paraId="71C37409" w14:textId="61A05860" w:rsidR="00BE2C33" w:rsidRPr="00C64973" w:rsidRDefault="00C248EF" w:rsidP="00537A84">
      <w:pPr>
        <w:spacing w:line="288" w:lineRule="auto"/>
        <w:rPr>
          <w:b/>
        </w:rPr>
      </w:pPr>
      <w:r w:rsidRPr="00C64973">
        <w:rPr>
          <w:b/>
        </w:rPr>
        <w:t>Table 15</w:t>
      </w:r>
      <w:r w:rsidR="00930638" w:rsidRPr="00C64973">
        <w:rPr>
          <w:b/>
        </w:rPr>
        <w:t>: Number of</w:t>
      </w:r>
      <w:r w:rsidR="00A42F0F" w:rsidRPr="00C64973">
        <w:rPr>
          <w:b/>
        </w:rPr>
        <w:t xml:space="preserve"> Individuals Completing Certification</w:t>
      </w:r>
      <w:r w:rsidR="00930638" w:rsidRPr="00C64973">
        <w:rPr>
          <w:b/>
        </w:rPr>
        <w:t xml:space="preserve"> Programs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852"/>
        <w:gridCol w:w="1440"/>
        <w:gridCol w:w="1440"/>
        <w:gridCol w:w="1350"/>
      </w:tblGrid>
      <w:tr w:rsidR="00BE2C33" w:rsidRPr="00C64973" w14:paraId="5FF38DBA" w14:textId="77777777" w:rsidTr="007855A0">
        <w:tc>
          <w:tcPr>
            <w:tcW w:w="3852" w:type="dxa"/>
            <w:tcBorders>
              <w:top w:val="nil"/>
              <w:left w:val="nil"/>
              <w:right w:val="nil"/>
            </w:tcBorders>
          </w:tcPr>
          <w:p w14:paraId="207A53BE" w14:textId="4F2AB06D" w:rsidR="00BE2C33" w:rsidRPr="00C64973" w:rsidRDefault="00BE2C33" w:rsidP="007855A0">
            <w:pPr>
              <w:pStyle w:val="Heading4"/>
              <w:spacing w:after="0"/>
              <w:rPr>
                <w:rFonts w:ascii="Arial" w:hAnsi="Arial" w:cs="Arial"/>
                <w:sz w:val="24"/>
                <w:szCs w:val="24"/>
              </w:rPr>
            </w:pPr>
          </w:p>
        </w:tc>
        <w:tc>
          <w:tcPr>
            <w:tcW w:w="1440" w:type="dxa"/>
            <w:tcBorders>
              <w:top w:val="nil"/>
              <w:left w:val="nil"/>
              <w:right w:val="nil"/>
            </w:tcBorders>
          </w:tcPr>
          <w:p w14:paraId="0FEB59A6" w14:textId="6BBEF44A" w:rsidR="00BE2C33" w:rsidRPr="00C64973" w:rsidRDefault="00E73FBC" w:rsidP="007855A0">
            <w:pPr>
              <w:jc w:val="center"/>
              <w:rPr>
                <w:b/>
              </w:rPr>
            </w:pPr>
            <w:r w:rsidRPr="00C64973">
              <w:rPr>
                <w:b/>
              </w:rPr>
              <w:t>2018</w:t>
            </w:r>
          </w:p>
        </w:tc>
        <w:tc>
          <w:tcPr>
            <w:tcW w:w="1440" w:type="dxa"/>
            <w:tcBorders>
              <w:top w:val="nil"/>
              <w:left w:val="nil"/>
              <w:right w:val="nil"/>
            </w:tcBorders>
          </w:tcPr>
          <w:p w14:paraId="52DADC91" w14:textId="7B6A6AE2" w:rsidR="00BE2C33" w:rsidRPr="00C64973" w:rsidRDefault="00E73FBC" w:rsidP="007855A0">
            <w:pPr>
              <w:jc w:val="center"/>
              <w:rPr>
                <w:b/>
              </w:rPr>
            </w:pPr>
            <w:r w:rsidRPr="00C64973">
              <w:rPr>
                <w:b/>
              </w:rPr>
              <w:t>2019</w:t>
            </w:r>
          </w:p>
        </w:tc>
        <w:tc>
          <w:tcPr>
            <w:tcW w:w="1350" w:type="dxa"/>
            <w:tcBorders>
              <w:top w:val="nil"/>
              <w:left w:val="nil"/>
              <w:right w:val="nil"/>
            </w:tcBorders>
          </w:tcPr>
          <w:p w14:paraId="314C8769" w14:textId="60516C70" w:rsidR="00BE2C33" w:rsidRPr="00C64973" w:rsidRDefault="00E73FBC" w:rsidP="007855A0">
            <w:pPr>
              <w:jc w:val="center"/>
              <w:rPr>
                <w:b/>
              </w:rPr>
            </w:pPr>
            <w:r w:rsidRPr="00C64973">
              <w:rPr>
                <w:b/>
              </w:rPr>
              <w:t>2020</w:t>
            </w:r>
          </w:p>
        </w:tc>
      </w:tr>
      <w:tr w:rsidR="00BE2C33" w:rsidRPr="00C64973" w14:paraId="54BFE358" w14:textId="77777777" w:rsidTr="007855A0">
        <w:tc>
          <w:tcPr>
            <w:tcW w:w="3852" w:type="dxa"/>
          </w:tcPr>
          <w:p w14:paraId="1D90F675" w14:textId="03CB4CE3" w:rsidR="00BE2C33" w:rsidRPr="00C64973" w:rsidRDefault="00BE2C33" w:rsidP="007855A0">
            <w:pPr>
              <w:spacing w:after="0" w:line="288" w:lineRule="auto"/>
              <w:rPr>
                <w:b/>
              </w:rPr>
            </w:pPr>
            <w:r w:rsidRPr="00C64973">
              <w:rPr>
                <w:b/>
              </w:rPr>
              <w:t>Visual impairments</w:t>
            </w:r>
          </w:p>
        </w:tc>
        <w:tc>
          <w:tcPr>
            <w:tcW w:w="1440" w:type="dxa"/>
          </w:tcPr>
          <w:p w14:paraId="5D4BB0D5" w14:textId="55C2C902" w:rsidR="00BE2C33" w:rsidRPr="00C64973" w:rsidRDefault="00E73FBC" w:rsidP="007855A0">
            <w:pPr>
              <w:spacing w:after="0" w:line="288" w:lineRule="auto"/>
              <w:jc w:val="center"/>
            </w:pPr>
            <w:r w:rsidRPr="00C64973">
              <w:t>49</w:t>
            </w:r>
          </w:p>
        </w:tc>
        <w:tc>
          <w:tcPr>
            <w:tcW w:w="1440" w:type="dxa"/>
          </w:tcPr>
          <w:p w14:paraId="3BCBBC69" w14:textId="69DD1B8E" w:rsidR="00BE2C33" w:rsidRPr="00C64973" w:rsidRDefault="00E73FBC" w:rsidP="007855A0">
            <w:pPr>
              <w:spacing w:after="0" w:line="288" w:lineRule="auto"/>
              <w:jc w:val="center"/>
            </w:pPr>
            <w:r w:rsidRPr="00C64973">
              <w:t>36</w:t>
            </w:r>
          </w:p>
        </w:tc>
        <w:tc>
          <w:tcPr>
            <w:tcW w:w="1350" w:type="dxa"/>
          </w:tcPr>
          <w:p w14:paraId="1207EA9A" w14:textId="7A5F5312" w:rsidR="00BE2C33" w:rsidRPr="00C64973" w:rsidRDefault="00E73FBC" w:rsidP="007855A0">
            <w:pPr>
              <w:spacing w:after="0" w:line="288" w:lineRule="auto"/>
              <w:jc w:val="center"/>
            </w:pPr>
            <w:r w:rsidRPr="00C64973">
              <w:t>34</w:t>
            </w:r>
          </w:p>
        </w:tc>
      </w:tr>
      <w:tr w:rsidR="00BE2C33" w:rsidRPr="00C64973" w14:paraId="58732B9E" w14:textId="77777777" w:rsidTr="007855A0">
        <w:tc>
          <w:tcPr>
            <w:tcW w:w="3852" w:type="dxa"/>
            <w:shd w:val="clear" w:color="auto" w:fill="auto"/>
          </w:tcPr>
          <w:p w14:paraId="60819928" w14:textId="361AE007" w:rsidR="00BE2C33" w:rsidRPr="00C64973" w:rsidRDefault="00BE2C33" w:rsidP="007855A0">
            <w:pPr>
              <w:spacing w:after="0" w:line="288" w:lineRule="auto"/>
              <w:rPr>
                <w:b/>
              </w:rPr>
            </w:pPr>
            <w:r w:rsidRPr="00C64973">
              <w:rPr>
                <w:b/>
              </w:rPr>
              <w:t xml:space="preserve">Orientation and mobility </w:t>
            </w:r>
            <w:r w:rsidRPr="00C64973">
              <w:rPr>
                <w:szCs w:val="24"/>
              </w:rPr>
              <w:t>(incl. undergraduates)</w:t>
            </w:r>
          </w:p>
        </w:tc>
        <w:tc>
          <w:tcPr>
            <w:tcW w:w="1440" w:type="dxa"/>
          </w:tcPr>
          <w:p w14:paraId="66DD8CD7" w14:textId="31075673" w:rsidR="00BE2C33" w:rsidRPr="00C64973" w:rsidRDefault="00E73FBC" w:rsidP="007855A0">
            <w:pPr>
              <w:spacing w:after="0" w:line="288" w:lineRule="auto"/>
              <w:jc w:val="center"/>
            </w:pPr>
            <w:r w:rsidRPr="00C64973">
              <w:t>32</w:t>
            </w:r>
          </w:p>
        </w:tc>
        <w:tc>
          <w:tcPr>
            <w:tcW w:w="1440" w:type="dxa"/>
          </w:tcPr>
          <w:p w14:paraId="5C70F0DE" w14:textId="64F2642C" w:rsidR="00BE2C33" w:rsidRPr="00C64973" w:rsidRDefault="00E73FBC" w:rsidP="007855A0">
            <w:pPr>
              <w:spacing w:after="0" w:line="288" w:lineRule="auto"/>
              <w:jc w:val="center"/>
            </w:pPr>
            <w:r w:rsidRPr="00C64973">
              <w:t>21</w:t>
            </w:r>
          </w:p>
        </w:tc>
        <w:tc>
          <w:tcPr>
            <w:tcW w:w="1350" w:type="dxa"/>
          </w:tcPr>
          <w:p w14:paraId="73D5498A" w14:textId="106836C0" w:rsidR="00BE2C33" w:rsidRPr="00C64973" w:rsidRDefault="00E73FBC" w:rsidP="007855A0">
            <w:pPr>
              <w:spacing w:after="0" w:line="288" w:lineRule="auto"/>
              <w:jc w:val="center"/>
            </w:pPr>
            <w:r w:rsidRPr="00C64973">
              <w:t>15</w:t>
            </w:r>
          </w:p>
        </w:tc>
      </w:tr>
      <w:tr w:rsidR="00BE2C33" w:rsidRPr="00C64973" w14:paraId="73079820" w14:textId="77777777" w:rsidTr="007855A0">
        <w:tc>
          <w:tcPr>
            <w:tcW w:w="3852" w:type="dxa"/>
            <w:shd w:val="clear" w:color="auto" w:fill="auto"/>
          </w:tcPr>
          <w:p w14:paraId="555D293C" w14:textId="6E71E690" w:rsidR="00BE2C33" w:rsidRPr="00C64973" w:rsidRDefault="00BE2C33" w:rsidP="007855A0">
            <w:pPr>
              <w:spacing w:after="0" w:line="288" w:lineRule="auto"/>
              <w:rPr>
                <w:b/>
              </w:rPr>
            </w:pPr>
            <w:r w:rsidRPr="00C64973">
              <w:rPr>
                <w:b/>
              </w:rPr>
              <w:t>Total</w:t>
            </w:r>
          </w:p>
        </w:tc>
        <w:tc>
          <w:tcPr>
            <w:tcW w:w="1440" w:type="dxa"/>
          </w:tcPr>
          <w:p w14:paraId="7203BEA8" w14:textId="4A3B8C2D" w:rsidR="00BE2C33" w:rsidRPr="00C64973" w:rsidRDefault="00E73FBC" w:rsidP="007855A0">
            <w:pPr>
              <w:spacing w:after="0" w:line="288" w:lineRule="auto"/>
              <w:jc w:val="center"/>
              <w:rPr>
                <w:b/>
              </w:rPr>
            </w:pPr>
            <w:r w:rsidRPr="00C64973">
              <w:rPr>
                <w:b/>
              </w:rPr>
              <w:t>81</w:t>
            </w:r>
          </w:p>
        </w:tc>
        <w:tc>
          <w:tcPr>
            <w:tcW w:w="1440" w:type="dxa"/>
          </w:tcPr>
          <w:p w14:paraId="14B62766" w14:textId="7DBB587D" w:rsidR="00BE2C33" w:rsidRPr="00C64973" w:rsidRDefault="00E73FBC" w:rsidP="007855A0">
            <w:pPr>
              <w:spacing w:after="0" w:line="288" w:lineRule="auto"/>
              <w:jc w:val="center"/>
              <w:rPr>
                <w:b/>
              </w:rPr>
            </w:pPr>
            <w:r w:rsidRPr="00C64973">
              <w:rPr>
                <w:b/>
              </w:rPr>
              <w:t>57</w:t>
            </w:r>
          </w:p>
        </w:tc>
        <w:tc>
          <w:tcPr>
            <w:tcW w:w="1350" w:type="dxa"/>
          </w:tcPr>
          <w:p w14:paraId="2B122AFB" w14:textId="06890196" w:rsidR="00BE2C33" w:rsidRPr="00C64973" w:rsidRDefault="00E73FBC" w:rsidP="007855A0">
            <w:pPr>
              <w:spacing w:after="0" w:line="288" w:lineRule="auto"/>
              <w:jc w:val="center"/>
              <w:rPr>
                <w:b/>
              </w:rPr>
            </w:pPr>
            <w:r w:rsidRPr="00C64973">
              <w:rPr>
                <w:b/>
              </w:rPr>
              <w:t>49</w:t>
            </w:r>
          </w:p>
        </w:tc>
      </w:tr>
    </w:tbl>
    <w:p w14:paraId="6BC49485" w14:textId="440378C7" w:rsidR="006950E1" w:rsidRDefault="0032482C" w:rsidP="00BE2C33">
      <w:pPr>
        <w:spacing w:line="288" w:lineRule="auto"/>
        <w:rPr>
          <w:sz w:val="18"/>
          <w:szCs w:val="18"/>
        </w:rPr>
      </w:pPr>
      <w:r w:rsidRPr="00C64973">
        <w:rPr>
          <w:noProof/>
          <w:sz w:val="18"/>
          <w:szCs w:val="18"/>
        </w:rPr>
        <w:drawing>
          <wp:anchor distT="0" distB="0" distL="114300" distR="114300" simplePos="0" relativeHeight="251762176" behindDoc="0" locked="0" layoutInCell="1" allowOverlap="1" wp14:anchorId="227EEA0A" wp14:editId="5BD3BA32">
            <wp:simplePos x="0" y="0"/>
            <wp:positionH relativeFrom="margin">
              <wp:posOffset>42545</wp:posOffset>
            </wp:positionH>
            <wp:positionV relativeFrom="page">
              <wp:posOffset>7175500</wp:posOffset>
            </wp:positionV>
            <wp:extent cx="6188172" cy="2622550"/>
            <wp:effectExtent l="0" t="0" r="317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172" cy="2622550"/>
                    </a:xfrm>
                    <a:prstGeom prst="rect">
                      <a:avLst/>
                    </a:prstGeom>
                    <a:noFill/>
                  </pic:spPr>
                </pic:pic>
              </a:graphicData>
            </a:graphic>
            <wp14:sizeRelH relativeFrom="margin">
              <wp14:pctWidth>0</wp14:pctWidth>
            </wp14:sizeRelH>
            <wp14:sizeRelV relativeFrom="margin">
              <wp14:pctHeight>0</wp14:pctHeight>
            </wp14:sizeRelV>
          </wp:anchor>
        </w:drawing>
      </w:r>
    </w:p>
    <w:p w14:paraId="108DDFD4" w14:textId="1FF6055F" w:rsidR="006950E1" w:rsidRDefault="006950E1" w:rsidP="00BE2C33">
      <w:pPr>
        <w:spacing w:line="288" w:lineRule="auto"/>
        <w:rPr>
          <w:sz w:val="18"/>
          <w:szCs w:val="18"/>
        </w:rPr>
      </w:pPr>
    </w:p>
    <w:p w14:paraId="6CBC4A4B" w14:textId="37EC206F" w:rsidR="00EC396D" w:rsidRPr="00C64973" w:rsidRDefault="00716451" w:rsidP="00BE2C33">
      <w:pPr>
        <w:spacing w:line="288" w:lineRule="auto"/>
        <w:rPr>
          <w:sz w:val="18"/>
          <w:szCs w:val="18"/>
        </w:rPr>
      </w:pPr>
      <w:r w:rsidRPr="00C64973">
        <w:rPr>
          <w:sz w:val="18"/>
          <w:szCs w:val="18"/>
        </w:rPr>
        <w:t>Bar chart 4</w:t>
      </w:r>
      <w:r w:rsidR="00EC396D" w:rsidRPr="00C64973">
        <w:rPr>
          <w:sz w:val="18"/>
          <w:szCs w:val="18"/>
        </w:rPr>
        <w:t>: Number of Individuals Completing Certification Programs</w:t>
      </w:r>
    </w:p>
    <w:p w14:paraId="65CFAABE" w14:textId="73B6054A" w:rsidR="00710E99" w:rsidRPr="00C64973" w:rsidRDefault="00D666B7" w:rsidP="00710E99">
      <w:pPr>
        <w:spacing w:after="0" w:line="240" w:lineRule="auto"/>
        <w:rPr>
          <w:rFonts w:cs="Arial"/>
          <w:sz w:val="20"/>
        </w:rPr>
      </w:pPr>
      <w:r w:rsidRPr="00D666B7">
        <w:rPr>
          <w:rFonts w:cs="Arial"/>
          <w:sz w:val="20"/>
        </w:rPr>
        <w:t>The TVI &amp; COMS totals dropped in 2015 before rising in 2016. The data for O&amp;M specialists reached a peak in 2012 at 37 and TVIs reached their highest total in 2010 with 62 completers. In 2019 both totals fell from the previous year with 15 individuals completing an O&amp;M program and 34 individuals completing a TVI program.</w:t>
      </w:r>
    </w:p>
    <w:tbl>
      <w:tblPr>
        <w:tblW w:w="0" w:type="auto"/>
        <w:tblLook w:val="04A0" w:firstRow="1" w:lastRow="0" w:firstColumn="1" w:lastColumn="0" w:noHBand="0" w:noVBand="1"/>
      </w:tblPr>
      <w:tblGrid>
        <w:gridCol w:w="1650"/>
        <w:gridCol w:w="222"/>
        <w:gridCol w:w="222"/>
        <w:gridCol w:w="661"/>
        <w:gridCol w:w="661"/>
        <w:gridCol w:w="661"/>
        <w:gridCol w:w="661"/>
        <w:gridCol w:w="661"/>
        <w:gridCol w:w="661"/>
        <w:gridCol w:w="661"/>
        <w:gridCol w:w="661"/>
        <w:gridCol w:w="661"/>
        <w:gridCol w:w="661"/>
        <w:gridCol w:w="661"/>
      </w:tblGrid>
      <w:tr w:rsidR="00D666B7" w:rsidRPr="00D666B7" w14:paraId="64AD95D0" w14:textId="77777777" w:rsidTr="00D666B7">
        <w:trPr>
          <w:trHeight w:val="240"/>
        </w:trPr>
        <w:tc>
          <w:tcPr>
            <w:tcW w:w="0" w:type="auto"/>
            <w:tcBorders>
              <w:top w:val="nil"/>
              <w:left w:val="nil"/>
              <w:bottom w:val="nil"/>
              <w:right w:val="nil"/>
            </w:tcBorders>
            <w:shd w:val="clear" w:color="FFFF00" w:fill="FFFF00"/>
            <w:vAlign w:val="bottom"/>
            <w:hideMark/>
          </w:tcPr>
          <w:p w14:paraId="2B30BBDD" w14:textId="5B011B27" w:rsidR="00D666B7" w:rsidRPr="00D666B7" w:rsidRDefault="00D666B7" w:rsidP="00D666B7">
            <w:pPr>
              <w:spacing w:after="0" w:line="240" w:lineRule="auto"/>
              <w:rPr>
                <w:rFonts w:cs="Arial"/>
                <w:sz w:val="20"/>
              </w:rPr>
            </w:pPr>
            <w:bookmarkStart w:id="125" w:name="_Toc61607318"/>
          </w:p>
        </w:tc>
        <w:tc>
          <w:tcPr>
            <w:tcW w:w="0" w:type="auto"/>
            <w:tcBorders>
              <w:top w:val="nil"/>
              <w:left w:val="nil"/>
              <w:bottom w:val="nil"/>
              <w:right w:val="nil"/>
            </w:tcBorders>
            <w:shd w:val="clear" w:color="auto" w:fill="auto"/>
            <w:noWrap/>
            <w:vAlign w:val="bottom"/>
            <w:hideMark/>
          </w:tcPr>
          <w:p w14:paraId="07A3DF09" w14:textId="48DECB7B"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34B01644"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6252F8CE" w14:textId="77777777" w:rsidR="00D666B7" w:rsidRPr="00D666B7" w:rsidRDefault="00D666B7" w:rsidP="00D666B7">
            <w:pPr>
              <w:spacing w:after="0" w:line="240" w:lineRule="auto"/>
              <w:jc w:val="right"/>
              <w:rPr>
                <w:rFonts w:cs="Arial"/>
                <w:sz w:val="20"/>
              </w:rPr>
            </w:pPr>
            <w:r w:rsidRPr="00D666B7">
              <w:rPr>
                <w:rFonts w:cs="Arial"/>
                <w:sz w:val="20"/>
              </w:rPr>
              <w:t>2010</w:t>
            </w:r>
          </w:p>
        </w:tc>
        <w:tc>
          <w:tcPr>
            <w:tcW w:w="0" w:type="auto"/>
            <w:tcBorders>
              <w:top w:val="nil"/>
              <w:left w:val="nil"/>
              <w:bottom w:val="nil"/>
              <w:right w:val="nil"/>
            </w:tcBorders>
            <w:shd w:val="clear" w:color="auto" w:fill="auto"/>
            <w:noWrap/>
            <w:vAlign w:val="bottom"/>
            <w:hideMark/>
          </w:tcPr>
          <w:p w14:paraId="241FE954" w14:textId="77777777" w:rsidR="00D666B7" w:rsidRPr="00D666B7" w:rsidRDefault="00D666B7" w:rsidP="00D666B7">
            <w:pPr>
              <w:spacing w:after="0" w:line="240" w:lineRule="auto"/>
              <w:jc w:val="right"/>
              <w:rPr>
                <w:rFonts w:cs="Arial"/>
                <w:sz w:val="20"/>
              </w:rPr>
            </w:pPr>
            <w:r w:rsidRPr="00D666B7">
              <w:rPr>
                <w:rFonts w:cs="Arial"/>
                <w:sz w:val="20"/>
              </w:rPr>
              <w:t>2011</w:t>
            </w:r>
          </w:p>
        </w:tc>
        <w:tc>
          <w:tcPr>
            <w:tcW w:w="0" w:type="auto"/>
            <w:tcBorders>
              <w:top w:val="nil"/>
              <w:left w:val="nil"/>
              <w:bottom w:val="nil"/>
              <w:right w:val="nil"/>
            </w:tcBorders>
            <w:shd w:val="clear" w:color="auto" w:fill="auto"/>
            <w:noWrap/>
            <w:vAlign w:val="bottom"/>
            <w:hideMark/>
          </w:tcPr>
          <w:p w14:paraId="774703F8" w14:textId="16D3B066" w:rsidR="00D666B7" w:rsidRPr="00D666B7" w:rsidRDefault="00D666B7" w:rsidP="00D666B7">
            <w:pPr>
              <w:spacing w:after="0" w:line="240" w:lineRule="auto"/>
              <w:jc w:val="right"/>
              <w:rPr>
                <w:rFonts w:cs="Arial"/>
                <w:sz w:val="20"/>
              </w:rPr>
            </w:pPr>
            <w:r w:rsidRPr="00D666B7">
              <w:rPr>
                <w:rFonts w:cs="Arial"/>
                <w:sz w:val="20"/>
              </w:rPr>
              <w:t>2012</w:t>
            </w:r>
          </w:p>
        </w:tc>
        <w:tc>
          <w:tcPr>
            <w:tcW w:w="0" w:type="auto"/>
            <w:tcBorders>
              <w:top w:val="nil"/>
              <w:left w:val="nil"/>
              <w:bottom w:val="nil"/>
              <w:right w:val="nil"/>
            </w:tcBorders>
            <w:shd w:val="clear" w:color="auto" w:fill="auto"/>
            <w:noWrap/>
            <w:vAlign w:val="bottom"/>
            <w:hideMark/>
          </w:tcPr>
          <w:p w14:paraId="7A7033BB" w14:textId="77777777" w:rsidR="00D666B7" w:rsidRPr="00D666B7" w:rsidRDefault="00D666B7" w:rsidP="00D666B7">
            <w:pPr>
              <w:spacing w:after="0" w:line="240" w:lineRule="auto"/>
              <w:jc w:val="right"/>
              <w:rPr>
                <w:rFonts w:cs="Arial"/>
                <w:sz w:val="20"/>
              </w:rPr>
            </w:pPr>
            <w:r w:rsidRPr="00D666B7">
              <w:rPr>
                <w:rFonts w:cs="Arial"/>
                <w:sz w:val="20"/>
              </w:rPr>
              <w:t>2013</w:t>
            </w:r>
          </w:p>
        </w:tc>
        <w:tc>
          <w:tcPr>
            <w:tcW w:w="0" w:type="auto"/>
            <w:tcBorders>
              <w:top w:val="nil"/>
              <w:left w:val="nil"/>
              <w:bottom w:val="nil"/>
              <w:right w:val="nil"/>
            </w:tcBorders>
            <w:shd w:val="clear" w:color="auto" w:fill="auto"/>
            <w:noWrap/>
            <w:vAlign w:val="bottom"/>
            <w:hideMark/>
          </w:tcPr>
          <w:p w14:paraId="3D7D89D7" w14:textId="77777777" w:rsidR="00D666B7" w:rsidRPr="00D666B7" w:rsidRDefault="00D666B7" w:rsidP="00D666B7">
            <w:pPr>
              <w:spacing w:after="0" w:line="240" w:lineRule="auto"/>
              <w:jc w:val="right"/>
              <w:rPr>
                <w:rFonts w:cs="Arial"/>
                <w:sz w:val="20"/>
              </w:rPr>
            </w:pPr>
            <w:r w:rsidRPr="00D666B7">
              <w:rPr>
                <w:rFonts w:cs="Arial"/>
                <w:sz w:val="20"/>
              </w:rPr>
              <w:t>2014</w:t>
            </w:r>
          </w:p>
        </w:tc>
        <w:tc>
          <w:tcPr>
            <w:tcW w:w="0" w:type="auto"/>
            <w:tcBorders>
              <w:top w:val="nil"/>
              <w:left w:val="nil"/>
              <w:bottom w:val="nil"/>
              <w:right w:val="nil"/>
            </w:tcBorders>
            <w:shd w:val="clear" w:color="auto" w:fill="auto"/>
            <w:noWrap/>
            <w:vAlign w:val="bottom"/>
            <w:hideMark/>
          </w:tcPr>
          <w:p w14:paraId="141DCF28" w14:textId="77777777" w:rsidR="00D666B7" w:rsidRPr="00D666B7" w:rsidRDefault="00D666B7" w:rsidP="00D666B7">
            <w:pPr>
              <w:spacing w:after="0" w:line="240" w:lineRule="auto"/>
              <w:jc w:val="right"/>
              <w:rPr>
                <w:rFonts w:cs="Arial"/>
                <w:sz w:val="20"/>
              </w:rPr>
            </w:pPr>
            <w:r w:rsidRPr="00D666B7">
              <w:rPr>
                <w:rFonts w:cs="Arial"/>
                <w:sz w:val="20"/>
              </w:rPr>
              <w:t>2015</w:t>
            </w:r>
          </w:p>
        </w:tc>
        <w:tc>
          <w:tcPr>
            <w:tcW w:w="0" w:type="auto"/>
            <w:tcBorders>
              <w:top w:val="nil"/>
              <w:left w:val="nil"/>
              <w:bottom w:val="nil"/>
              <w:right w:val="nil"/>
            </w:tcBorders>
            <w:shd w:val="clear" w:color="auto" w:fill="auto"/>
            <w:noWrap/>
            <w:vAlign w:val="bottom"/>
            <w:hideMark/>
          </w:tcPr>
          <w:p w14:paraId="56A0E109" w14:textId="77777777" w:rsidR="00D666B7" w:rsidRPr="00D666B7" w:rsidRDefault="00D666B7" w:rsidP="00D666B7">
            <w:pPr>
              <w:spacing w:after="0" w:line="240" w:lineRule="auto"/>
              <w:jc w:val="right"/>
              <w:rPr>
                <w:rFonts w:cs="Arial"/>
                <w:sz w:val="20"/>
              </w:rPr>
            </w:pPr>
            <w:r w:rsidRPr="00D666B7">
              <w:rPr>
                <w:rFonts w:cs="Arial"/>
                <w:sz w:val="20"/>
              </w:rPr>
              <w:t>2016</w:t>
            </w:r>
          </w:p>
        </w:tc>
        <w:tc>
          <w:tcPr>
            <w:tcW w:w="0" w:type="auto"/>
            <w:tcBorders>
              <w:top w:val="nil"/>
              <w:left w:val="nil"/>
              <w:bottom w:val="nil"/>
              <w:right w:val="nil"/>
            </w:tcBorders>
            <w:shd w:val="clear" w:color="auto" w:fill="auto"/>
            <w:noWrap/>
            <w:vAlign w:val="bottom"/>
            <w:hideMark/>
          </w:tcPr>
          <w:p w14:paraId="74E5F640" w14:textId="77777777" w:rsidR="00D666B7" w:rsidRPr="00D666B7" w:rsidRDefault="00D666B7" w:rsidP="00D666B7">
            <w:pPr>
              <w:spacing w:after="0" w:line="240" w:lineRule="auto"/>
              <w:jc w:val="right"/>
              <w:rPr>
                <w:rFonts w:cs="Arial"/>
                <w:sz w:val="20"/>
              </w:rPr>
            </w:pPr>
            <w:r w:rsidRPr="00D666B7">
              <w:rPr>
                <w:rFonts w:cs="Arial"/>
                <w:sz w:val="20"/>
              </w:rPr>
              <w:t>2017</w:t>
            </w:r>
          </w:p>
        </w:tc>
        <w:tc>
          <w:tcPr>
            <w:tcW w:w="0" w:type="auto"/>
            <w:tcBorders>
              <w:top w:val="nil"/>
              <w:left w:val="nil"/>
              <w:bottom w:val="nil"/>
              <w:right w:val="nil"/>
            </w:tcBorders>
            <w:shd w:val="clear" w:color="auto" w:fill="auto"/>
            <w:noWrap/>
            <w:vAlign w:val="bottom"/>
            <w:hideMark/>
          </w:tcPr>
          <w:p w14:paraId="3524E93D" w14:textId="77777777" w:rsidR="00D666B7" w:rsidRPr="00D666B7" w:rsidRDefault="00D666B7" w:rsidP="00D666B7">
            <w:pPr>
              <w:spacing w:after="0" w:line="240" w:lineRule="auto"/>
              <w:jc w:val="right"/>
              <w:rPr>
                <w:rFonts w:cs="Arial"/>
                <w:sz w:val="20"/>
              </w:rPr>
            </w:pPr>
            <w:r w:rsidRPr="00D666B7">
              <w:rPr>
                <w:rFonts w:cs="Arial"/>
                <w:sz w:val="20"/>
              </w:rPr>
              <w:t>2018</w:t>
            </w:r>
          </w:p>
        </w:tc>
        <w:tc>
          <w:tcPr>
            <w:tcW w:w="0" w:type="auto"/>
            <w:tcBorders>
              <w:top w:val="nil"/>
              <w:left w:val="nil"/>
              <w:bottom w:val="nil"/>
              <w:right w:val="nil"/>
            </w:tcBorders>
            <w:shd w:val="clear" w:color="auto" w:fill="auto"/>
            <w:noWrap/>
            <w:vAlign w:val="bottom"/>
            <w:hideMark/>
          </w:tcPr>
          <w:p w14:paraId="6414A9E4"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2019</w:t>
            </w:r>
          </w:p>
        </w:tc>
        <w:tc>
          <w:tcPr>
            <w:tcW w:w="0" w:type="auto"/>
            <w:tcBorders>
              <w:top w:val="nil"/>
              <w:left w:val="nil"/>
              <w:bottom w:val="nil"/>
              <w:right w:val="nil"/>
            </w:tcBorders>
            <w:shd w:val="clear" w:color="auto" w:fill="auto"/>
            <w:noWrap/>
            <w:vAlign w:val="bottom"/>
            <w:hideMark/>
          </w:tcPr>
          <w:p w14:paraId="07C67CC7"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2020</w:t>
            </w:r>
          </w:p>
        </w:tc>
      </w:tr>
      <w:tr w:rsidR="00D666B7" w:rsidRPr="00D666B7" w14:paraId="1A18836D" w14:textId="77777777" w:rsidTr="00D666B7">
        <w:trPr>
          <w:trHeight w:val="255"/>
        </w:trPr>
        <w:tc>
          <w:tcPr>
            <w:tcW w:w="0" w:type="auto"/>
            <w:tcBorders>
              <w:top w:val="nil"/>
              <w:left w:val="nil"/>
              <w:bottom w:val="nil"/>
              <w:right w:val="nil"/>
            </w:tcBorders>
            <w:shd w:val="clear" w:color="auto" w:fill="auto"/>
            <w:vAlign w:val="bottom"/>
            <w:hideMark/>
          </w:tcPr>
          <w:p w14:paraId="72593D40" w14:textId="77777777" w:rsidR="00D666B7" w:rsidRPr="00D666B7" w:rsidRDefault="00D666B7" w:rsidP="00D666B7">
            <w:pPr>
              <w:spacing w:after="0" w:line="240" w:lineRule="auto"/>
              <w:rPr>
                <w:rFonts w:cs="Arial"/>
                <w:sz w:val="20"/>
              </w:rPr>
            </w:pPr>
            <w:r w:rsidRPr="00D666B7">
              <w:rPr>
                <w:rFonts w:cs="Arial"/>
                <w:sz w:val="20"/>
              </w:rPr>
              <w:t>TVI</w:t>
            </w:r>
          </w:p>
        </w:tc>
        <w:tc>
          <w:tcPr>
            <w:tcW w:w="0" w:type="auto"/>
            <w:tcBorders>
              <w:top w:val="nil"/>
              <w:left w:val="nil"/>
              <w:bottom w:val="nil"/>
              <w:right w:val="nil"/>
            </w:tcBorders>
            <w:shd w:val="clear" w:color="auto" w:fill="auto"/>
            <w:noWrap/>
            <w:vAlign w:val="bottom"/>
            <w:hideMark/>
          </w:tcPr>
          <w:p w14:paraId="648FC7A5" w14:textId="77777777"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7AEAE778"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20BEE154" w14:textId="14AD7A70" w:rsidR="00D666B7" w:rsidRPr="00D666B7" w:rsidRDefault="00D666B7" w:rsidP="00D666B7">
            <w:pPr>
              <w:spacing w:after="0" w:line="240" w:lineRule="auto"/>
              <w:jc w:val="right"/>
              <w:rPr>
                <w:rFonts w:cs="Arial"/>
                <w:color w:val="000000"/>
                <w:sz w:val="20"/>
              </w:rPr>
            </w:pPr>
            <w:r w:rsidRPr="00D666B7">
              <w:rPr>
                <w:rFonts w:cs="Arial"/>
                <w:color w:val="000000"/>
                <w:sz w:val="20"/>
              </w:rPr>
              <w:t>62</w:t>
            </w:r>
          </w:p>
        </w:tc>
        <w:tc>
          <w:tcPr>
            <w:tcW w:w="0" w:type="auto"/>
            <w:tcBorders>
              <w:top w:val="nil"/>
              <w:left w:val="nil"/>
              <w:bottom w:val="nil"/>
              <w:right w:val="nil"/>
            </w:tcBorders>
            <w:shd w:val="clear" w:color="auto" w:fill="auto"/>
            <w:noWrap/>
            <w:vAlign w:val="bottom"/>
            <w:hideMark/>
          </w:tcPr>
          <w:p w14:paraId="55D71B5F"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51</w:t>
            </w:r>
          </w:p>
        </w:tc>
        <w:tc>
          <w:tcPr>
            <w:tcW w:w="0" w:type="auto"/>
            <w:tcBorders>
              <w:top w:val="nil"/>
              <w:left w:val="nil"/>
              <w:bottom w:val="nil"/>
              <w:right w:val="nil"/>
            </w:tcBorders>
            <w:shd w:val="clear" w:color="auto" w:fill="auto"/>
            <w:noWrap/>
            <w:vAlign w:val="bottom"/>
            <w:hideMark/>
          </w:tcPr>
          <w:p w14:paraId="3841ECC5" w14:textId="1C04FFF6" w:rsidR="00D666B7" w:rsidRPr="00D666B7" w:rsidRDefault="00D666B7" w:rsidP="00D666B7">
            <w:pPr>
              <w:spacing w:after="0" w:line="240" w:lineRule="auto"/>
              <w:jc w:val="right"/>
              <w:rPr>
                <w:rFonts w:cs="Arial"/>
                <w:color w:val="000000"/>
                <w:sz w:val="20"/>
              </w:rPr>
            </w:pPr>
            <w:r w:rsidRPr="00D666B7">
              <w:rPr>
                <w:rFonts w:cs="Arial"/>
                <w:color w:val="000000"/>
                <w:sz w:val="20"/>
              </w:rPr>
              <w:t>41</w:t>
            </w:r>
          </w:p>
        </w:tc>
        <w:tc>
          <w:tcPr>
            <w:tcW w:w="0" w:type="auto"/>
            <w:tcBorders>
              <w:top w:val="nil"/>
              <w:left w:val="nil"/>
              <w:bottom w:val="nil"/>
              <w:right w:val="nil"/>
            </w:tcBorders>
            <w:shd w:val="clear" w:color="auto" w:fill="auto"/>
            <w:noWrap/>
            <w:vAlign w:val="bottom"/>
            <w:hideMark/>
          </w:tcPr>
          <w:p w14:paraId="54251290"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41</w:t>
            </w:r>
          </w:p>
        </w:tc>
        <w:tc>
          <w:tcPr>
            <w:tcW w:w="0" w:type="auto"/>
            <w:tcBorders>
              <w:top w:val="nil"/>
              <w:left w:val="nil"/>
              <w:bottom w:val="nil"/>
              <w:right w:val="nil"/>
            </w:tcBorders>
            <w:shd w:val="clear" w:color="auto" w:fill="auto"/>
            <w:noWrap/>
            <w:vAlign w:val="bottom"/>
            <w:hideMark/>
          </w:tcPr>
          <w:p w14:paraId="2D4605B7" w14:textId="5E6E2EBA" w:rsidR="00D666B7" w:rsidRPr="00D666B7" w:rsidRDefault="00D666B7" w:rsidP="00D666B7">
            <w:pPr>
              <w:spacing w:after="0" w:line="240" w:lineRule="auto"/>
              <w:jc w:val="right"/>
              <w:rPr>
                <w:rFonts w:cs="Arial"/>
                <w:color w:val="000000"/>
                <w:sz w:val="20"/>
              </w:rPr>
            </w:pPr>
            <w:r w:rsidRPr="00D666B7">
              <w:rPr>
                <w:rFonts w:cs="Arial"/>
                <w:color w:val="000000"/>
                <w:sz w:val="20"/>
              </w:rPr>
              <w:t>40</w:t>
            </w:r>
          </w:p>
        </w:tc>
        <w:tc>
          <w:tcPr>
            <w:tcW w:w="0" w:type="auto"/>
            <w:tcBorders>
              <w:top w:val="nil"/>
              <w:left w:val="nil"/>
              <w:bottom w:val="nil"/>
              <w:right w:val="nil"/>
            </w:tcBorders>
            <w:shd w:val="clear" w:color="auto" w:fill="auto"/>
            <w:noWrap/>
            <w:vAlign w:val="bottom"/>
            <w:hideMark/>
          </w:tcPr>
          <w:p w14:paraId="72560A6E"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34</w:t>
            </w:r>
          </w:p>
        </w:tc>
        <w:tc>
          <w:tcPr>
            <w:tcW w:w="0" w:type="auto"/>
            <w:tcBorders>
              <w:top w:val="nil"/>
              <w:left w:val="nil"/>
              <w:bottom w:val="nil"/>
              <w:right w:val="nil"/>
            </w:tcBorders>
            <w:shd w:val="clear" w:color="auto" w:fill="auto"/>
            <w:noWrap/>
            <w:vAlign w:val="bottom"/>
            <w:hideMark/>
          </w:tcPr>
          <w:p w14:paraId="69DB0CB4"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53</w:t>
            </w:r>
          </w:p>
        </w:tc>
        <w:tc>
          <w:tcPr>
            <w:tcW w:w="0" w:type="auto"/>
            <w:tcBorders>
              <w:top w:val="nil"/>
              <w:left w:val="nil"/>
              <w:bottom w:val="nil"/>
              <w:right w:val="nil"/>
            </w:tcBorders>
            <w:shd w:val="clear" w:color="auto" w:fill="auto"/>
            <w:noWrap/>
            <w:vAlign w:val="bottom"/>
            <w:hideMark/>
          </w:tcPr>
          <w:p w14:paraId="13834137"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42</w:t>
            </w:r>
          </w:p>
        </w:tc>
        <w:tc>
          <w:tcPr>
            <w:tcW w:w="0" w:type="auto"/>
            <w:tcBorders>
              <w:top w:val="nil"/>
              <w:left w:val="nil"/>
              <w:bottom w:val="nil"/>
              <w:right w:val="nil"/>
            </w:tcBorders>
            <w:shd w:val="clear" w:color="auto" w:fill="auto"/>
            <w:noWrap/>
            <w:vAlign w:val="bottom"/>
            <w:hideMark/>
          </w:tcPr>
          <w:p w14:paraId="2D699D12"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49</w:t>
            </w:r>
          </w:p>
        </w:tc>
        <w:tc>
          <w:tcPr>
            <w:tcW w:w="0" w:type="auto"/>
            <w:tcBorders>
              <w:top w:val="nil"/>
              <w:left w:val="nil"/>
              <w:bottom w:val="nil"/>
              <w:right w:val="nil"/>
            </w:tcBorders>
            <w:shd w:val="clear" w:color="auto" w:fill="auto"/>
            <w:noWrap/>
            <w:vAlign w:val="bottom"/>
            <w:hideMark/>
          </w:tcPr>
          <w:p w14:paraId="47BB76F5"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36</w:t>
            </w:r>
          </w:p>
        </w:tc>
        <w:tc>
          <w:tcPr>
            <w:tcW w:w="0" w:type="auto"/>
            <w:tcBorders>
              <w:top w:val="nil"/>
              <w:left w:val="nil"/>
              <w:bottom w:val="nil"/>
              <w:right w:val="nil"/>
            </w:tcBorders>
            <w:shd w:val="clear" w:color="auto" w:fill="auto"/>
            <w:noWrap/>
            <w:vAlign w:val="bottom"/>
            <w:hideMark/>
          </w:tcPr>
          <w:p w14:paraId="7DCF706A"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34</w:t>
            </w:r>
          </w:p>
        </w:tc>
      </w:tr>
      <w:tr w:rsidR="00D666B7" w:rsidRPr="00D666B7" w14:paraId="6F64CB5E" w14:textId="77777777" w:rsidTr="00D666B7">
        <w:trPr>
          <w:trHeight w:val="255"/>
        </w:trPr>
        <w:tc>
          <w:tcPr>
            <w:tcW w:w="0" w:type="auto"/>
            <w:tcBorders>
              <w:top w:val="nil"/>
              <w:left w:val="nil"/>
              <w:bottom w:val="nil"/>
              <w:right w:val="nil"/>
            </w:tcBorders>
            <w:shd w:val="clear" w:color="auto" w:fill="auto"/>
            <w:vAlign w:val="bottom"/>
            <w:hideMark/>
          </w:tcPr>
          <w:p w14:paraId="3976BC3F" w14:textId="77777777" w:rsidR="00D666B7" w:rsidRPr="00D666B7" w:rsidRDefault="00D666B7" w:rsidP="00D666B7">
            <w:pPr>
              <w:spacing w:after="0" w:line="240" w:lineRule="auto"/>
              <w:rPr>
                <w:rFonts w:cs="Arial"/>
                <w:sz w:val="20"/>
              </w:rPr>
            </w:pPr>
            <w:r w:rsidRPr="00D666B7">
              <w:rPr>
                <w:rFonts w:cs="Arial"/>
                <w:sz w:val="20"/>
              </w:rPr>
              <w:t>O&amp;M specialists</w:t>
            </w:r>
          </w:p>
        </w:tc>
        <w:tc>
          <w:tcPr>
            <w:tcW w:w="0" w:type="auto"/>
            <w:tcBorders>
              <w:top w:val="nil"/>
              <w:left w:val="nil"/>
              <w:bottom w:val="nil"/>
              <w:right w:val="nil"/>
            </w:tcBorders>
            <w:shd w:val="clear" w:color="auto" w:fill="auto"/>
            <w:noWrap/>
            <w:vAlign w:val="bottom"/>
            <w:hideMark/>
          </w:tcPr>
          <w:p w14:paraId="1B2099F3" w14:textId="77777777" w:rsidR="00D666B7" w:rsidRPr="00D666B7" w:rsidRDefault="00D666B7" w:rsidP="00D666B7">
            <w:pPr>
              <w:spacing w:after="0" w:line="240" w:lineRule="auto"/>
              <w:rPr>
                <w:rFonts w:cs="Arial"/>
                <w:sz w:val="20"/>
              </w:rPr>
            </w:pPr>
          </w:p>
        </w:tc>
        <w:tc>
          <w:tcPr>
            <w:tcW w:w="0" w:type="auto"/>
            <w:tcBorders>
              <w:top w:val="nil"/>
              <w:left w:val="nil"/>
              <w:bottom w:val="nil"/>
              <w:right w:val="nil"/>
            </w:tcBorders>
            <w:shd w:val="clear" w:color="auto" w:fill="auto"/>
            <w:noWrap/>
            <w:vAlign w:val="bottom"/>
            <w:hideMark/>
          </w:tcPr>
          <w:p w14:paraId="4CBEC9AE" w14:textId="77777777" w:rsidR="00D666B7" w:rsidRPr="00D666B7" w:rsidRDefault="00D666B7" w:rsidP="00D666B7">
            <w:pPr>
              <w:spacing w:after="0" w:line="240" w:lineRule="auto"/>
              <w:rPr>
                <w:rFonts w:ascii="Times New Roman" w:hAnsi="Times New Roman"/>
                <w:sz w:val="20"/>
              </w:rPr>
            </w:pPr>
          </w:p>
        </w:tc>
        <w:tc>
          <w:tcPr>
            <w:tcW w:w="0" w:type="auto"/>
            <w:tcBorders>
              <w:top w:val="nil"/>
              <w:left w:val="nil"/>
              <w:bottom w:val="nil"/>
              <w:right w:val="nil"/>
            </w:tcBorders>
            <w:shd w:val="clear" w:color="auto" w:fill="auto"/>
            <w:noWrap/>
            <w:vAlign w:val="bottom"/>
            <w:hideMark/>
          </w:tcPr>
          <w:p w14:paraId="4E4C0036"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21</w:t>
            </w:r>
          </w:p>
        </w:tc>
        <w:tc>
          <w:tcPr>
            <w:tcW w:w="0" w:type="auto"/>
            <w:tcBorders>
              <w:top w:val="nil"/>
              <w:left w:val="nil"/>
              <w:bottom w:val="nil"/>
              <w:right w:val="nil"/>
            </w:tcBorders>
            <w:shd w:val="clear" w:color="auto" w:fill="auto"/>
            <w:noWrap/>
            <w:vAlign w:val="bottom"/>
            <w:hideMark/>
          </w:tcPr>
          <w:p w14:paraId="54B0F5F3" w14:textId="15E8BCB8" w:rsidR="00D666B7" w:rsidRPr="00D666B7" w:rsidRDefault="00D666B7" w:rsidP="00D666B7">
            <w:pPr>
              <w:spacing w:after="0" w:line="240" w:lineRule="auto"/>
              <w:jc w:val="right"/>
              <w:rPr>
                <w:rFonts w:cs="Arial"/>
                <w:color w:val="000000"/>
                <w:sz w:val="20"/>
              </w:rPr>
            </w:pPr>
            <w:r w:rsidRPr="00D666B7">
              <w:rPr>
                <w:rFonts w:cs="Arial"/>
                <w:color w:val="000000"/>
                <w:sz w:val="20"/>
              </w:rPr>
              <w:t>24</w:t>
            </w:r>
          </w:p>
        </w:tc>
        <w:tc>
          <w:tcPr>
            <w:tcW w:w="0" w:type="auto"/>
            <w:tcBorders>
              <w:top w:val="nil"/>
              <w:left w:val="nil"/>
              <w:bottom w:val="nil"/>
              <w:right w:val="nil"/>
            </w:tcBorders>
            <w:shd w:val="clear" w:color="auto" w:fill="auto"/>
            <w:noWrap/>
            <w:vAlign w:val="bottom"/>
            <w:hideMark/>
          </w:tcPr>
          <w:p w14:paraId="23D85F6B"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37</w:t>
            </w:r>
          </w:p>
        </w:tc>
        <w:tc>
          <w:tcPr>
            <w:tcW w:w="0" w:type="auto"/>
            <w:tcBorders>
              <w:top w:val="nil"/>
              <w:left w:val="nil"/>
              <w:bottom w:val="nil"/>
              <w:right w:val="nil"/>
            </w:tcBorders>
            <w:shd w:val="clear" w:color="auto" w:fill="auto"/>
            <w:noWrap/>
            <w:vAlign w:val="bottom"/>
            <w:hideMark/>
          </w:tcPr>
          <w:p w14:paraId="3ED1542D"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20</w:t>
            </w:r>
          </w:p>
        </w:tc>
        <w:tc>
          <w:tcPr>
            <w:tcW w:w="0" w:type="auto"/>
            <w:tcBorders>
              <w:top w:val="nil"/>
              <w:left w:val="nil"/>
              <w:bottom w:val="nil"/>
              <w:right w:val="nil"/>
            </w:tcBorders>
            <w:shd w:val="clear" w:color="auto" w:fill="auto"/>
            <w:noWrap/>
            <w:vAlign w:val="bottom"/>
            <w:hideMark/>
          </w:tcPr>
          <w:p w14:paraId="7F97270C" w14:textId="08F3D5A8" w:rsidR="00D666B7" w:rsidRPr="00D666B7" w:rsidRDefault="00D666B7" w:rsidP="00D666B7">
            <w:pPr>
              <w:spacing w:after="0" w:line="240" w:lineRule="auto"/>
              <w:jc w:val="right"/>
              <w:rPr>
                <w:rFonts w:cs="Arial"/>
                <w:color w:val="000000"/>
                <w:sz w:val="20"/>
              </w:rPr>
            </w:pPr>
            <w:r w:rsidRPr="00D666B7">
              <w:rPr>
                <w:rFonts w:cs="Arial"/>
                <w:color w:val="000000"/>
                <w:sz w:val="20"/>
              </w:rPr>
              <w:t>34</w:t>
            </w:r>
          </w:p>
        </w:tc>
        <w:tc>
          <w:tcPr>
            <w:tcW w:w="0" w:type="auto"/>
            <w:tcBorders>
              <w:top w:val="nil"/>
              <w:left w:val="nil"/>
              <w:bottom w:val="nil"/>
              <w:right w:val="nil"/>
            </w:tcBorders>
            <w:shd w:val="clear" w:color="auto" w:fill="auto"/>
            <w:noWrap/>
            <w:vAlign w:val="bottom"/>
            <w:hideMark/>
          </w:tcPr>
          <w:p w14:paraId="64C1FC5B"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25</w:t>
            </w:r>
          </w:p>
        </w:tc>
        <w:tc>
          <w:tcPr>
            <w:tcW w:w="0" w:type="auto"/>
            <w:tcBorders>
              <w:top w:val="nil"/>
              <w:left w:val="nil"/>
              <w:bottom w:val="nil"/>
              <w:right w:val="nil"/>
            </w:tcBorders>
            <w:shd w:val="clear" w:color="auto" w:fill="auto"/>
            <w:noWrap/>
            <w:vAlign w:val="bottom"/>
            <w:hideMark/>
          </w:tcPr>
          <w:p w14:paraId="00FB18C9"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30</w:t>
            </w:r>
          </w:p>
        </w:tc>
        <w:tc>
          <w:tcPr>
            <w:tcW w:w="0" w:type="auto"/>
            <w:tcBorders>
              <w:top w:val="nil"/>
              <w:left w:val="nil"/>
              <w:bottom w:val="nil"/>
              <w:right w:val="nil"/>
            </w:tcBorders>
            <w:shd w:val="clear" w:color="auto" w:fill="auto"/>
            <w:noWrap/>
            <w:vAlign w:val="bottom"/>
            <w:hideMark/>
          </w:tcPr>
          <w:p w14:paraId="3BF295CF"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35</w:t>
            </w:r>
          </w:p>
        </w:tc>
        <w:tc>
          <w:tcPr>
            <w:tcW w:w="0" w:type="auto"/>
            <w:tcBorders>
              <w:top w:val="nil"/>
              <w:left w:val="nil"/>
              <w:bottom w:val="nil"/>
              <w:right w:val="nil"/>
            </w:tcBorders>
            <w:shd w:val="clear" w:color="auto" w:fill="auto"/>
            <w:noWrap/>
            <w:vAlign w:val="bottom"/>
            <w:hideMark/>
          </w:tcPr>
          <w:p w14:paraId="646A0848"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32</w:t>
            </w:r>
          </w:p>
        </w:tc>
        <w:tc>
          <w:tcPr>
            <w:tcW w:w="0" w:type="auto"/>
            <w:tcBorders>
              <w:top w:val="nil"/>
              <w:left w:val="nil"/>
              <w:bottom w:val="nil"/>
              <w:right w:val="nil"/>
            </w:tcBorders>
            <w:shd w:val="clear" w:color="auto" w:fill="auto"/>
            <w:noWrap/>
            <w:vAlign w:val="bottom"/>
            <w:hideMark/>
          </w:tcPr>
          <w:p w14:paraId="52CC8E8B"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21</w:t>
            </w:r>
          </w:p>
        </w:tc>
        <w:tc>
          <w:tcPr>
            <w:tcW w:w="0" w:type="auto"/>
            <w:tcBorders>
              <w:top w:val="nil"/>
              <w:left w:val="nil"/>
              <w:bottom w:val="nil"/>
              <w:right w:val="nil"/>
            </w:tcBorders>
            <w:shd w:val="clear" w:color="auto" w:fill="auto"/>
            <w:noWrap/>
            <w:vAlign w:val="bottom"/>
            <w:hideMark/>
          </w:tcPr>
          <w:p w14:paraId="0C8542EA" w14:textId="77777777" w:rsidR="00D666B7" w:rsidRPr="00D666B7" w:rsidRDefault="00D666B7" w:rsidP="00D666B7">
            <w:pPr>
              <w:spacing w:after="0" w:line="240" w:lineRule="auto"/>
              <w:jc w:val="right"/>
              <w:rPr>
                <w:rFonts w:cs="Arial"/>
                <w:color w:val="000000"/>
                <w:sz w:val="20"/>
              </w:rPr>
            </w:pPr>
            <w:r w:rsidRPr="00D666B7">
              <w:rPr>
                <w:rFonts w:cs="Arial"/>
                <w:color w:val="000000"/>
                <w:sz w:val="20"/>
              </w:rPr>
              <w:t>15</w:t>
            </w:r>
          </w:p>
        </w:tc>
      </w:tr>
    </w:tbl>
    <w:p w14:paraId="4DE6B1DE" w14:textId="705C3827" w:rsidR="00D666B7" w:rsidRPr="00D666B7" w:rsidRDefault="00D666B7" w:rsidP="00D666B7"/>
    <w:p w14:paraId="597D2E09" w14:textId="055DDE2F" w:rsidR="00D14282" w:rsidRPr="00C64973" w:rsidRDefault="000E3ADA" w:rsidP="00D14282">
      <w:pPr>
        <w:pStyle w:val="Heading2"/>
      </w:pPr>
      <w:r>
        <w:t>University s</w:t>
      </w:r>
      <w:r w:rsidR="00D14282" w:rsidRPr="00C64973">
        <w:t>tudents receiving financial assistance in Texas certification programs</w:t>
      </w:r>
      <w:bookmarkEnd w:id="125"/>
    </w:p>
    <w:p w14:paraId="46B888EF" w14:textId="72F9041D" w:rsidR="00D14282" w:rsidRPr="00C64973" w:rsidRDefault="000B3827" w:rsidP="00D14282">
      <w:pPr>
        <w:rPr>
          <w:b/>
          <w:i/>
        </w:rPr>
      </w:pPr>
      <w:r w:rsidRPr="00C64973">
        <w:rPr>
          <w:b/>
          <w:i/>
        </w:rPr>
        <w:t xml:space="preserve">The majority of </w:t>
      </w:r>
      <w:r w:rsidR="00D14282" w:rsidRPr="00C64973">
        <w:rPr>
          <w:b/>
          <w:i/>
        </w:rPr>
        <w:t xml:space="preserve">students enrolled in </w:t>
      </w:r>
      <w:r w:rsidR="003407DE" w:rsidRPr="00C64973">
        <w:rPr>
          <w:b/>
          <w:i/>
        </w:rPr>
        <w:t xml:space="preserve">the SFASU and TTU VI and O&amp;M training </w:t>
      </w:r>
      <w:r w:rsidR="0032442F" w:rsidRPr="00C64973">
        <w:rPr>
          <w:b/>
          <w:i/>
        </w:rPr>
        <w:t>programs received</w:t>
      </w:r>
      <w:r w:rsidRPr="00C64973">
        <w:rPr>
          <w:b/>
          <w:i/>
        </w:rPr>
        <w:t xml:space="preserve"> </w:t>
      </w:r>
      <w:r w:rsidR="003407DE" w:rsidRPr="00C64973">
        <w:rPr>
          <w:b/>
          <w:i/>
        </w:rPr>
        <w:t>financial support through Texas grants.</w:t>
      </w:r>
    </w:p>
    <w:p w14:paraId="65AB085B" w14:textId="6F2C24E1" w:rsidR="00ED666A" w:rsidRPr="00C64973" w:rsidRDefault="006F2C39" w:rsidP="00B76730">
      <w:r w:rsidRPr="00C64973">
        <w:t>I</w:t>
      </w:r>
      <w:r w:rsidR="00E22398" w:rsidRPr="00C64973">
        <w:t>n</w:t>
      </w:r>
      <w:r w:rsidR="000B3827" w:rsidRPr="00C64973">
        <w:t xml:space="preserve"> 2020</w:t>
      </w:r>
      <w:r w:rsidR="00BE7DC8" w:rsidRPr="00C64973">
        <w:t xml:space="preserve">, the </w:t>
      </w:r>
      <w:r w:rsidR="00AA62A4" w:rsidRPr="00C64973">
        <w:t xml:space="preserve">percentage of </w:t>
      </w:r>
      <w:r w:rsidR="00E81CC5" w:rsidRPr="00C64973">
        <w:t xml:space="preserve">students in personnel preparation programs </w:t>
      </w:r>
      <w:r w:rsidR="0016356E" w:rsidRPr="00C64973">
        <w:t xml:space="preserve">(VI Certification and O&amp;M) </w:t>
      </w:r>
      <w:r w:rsidR="00B90543" w:rsidRPr="00C64973">
        <w:t>receiving fi</w:t>
      </w:r>
      <w:r w:rsidR="00505447" w:rsidRPr="00C64973">
        <w:t xml:space="preserve">nancial assistance </w:t>
      </w:r>
      <w:r w:rsidR="0032442F" w:rsidRPr="00C64973">
        <w:t>was seventy percent</w:t>
      </w:r>
      <w:r w:rsidR="005F2162" w:rsidRPr="00C64973">
        <w:t>.</w:t>
      </w:r>
      <w:r w:rsidR="000E3ADA">
        <w:t xml:space="preserve"> Although this may seem </w:t>
      </w:r>
      <w:r w:rsidR="000B3827" w:rsidRPr="00C64973">
        <w:t>a bit of a drop from last year,</w:t>
      </w:r>
      <w:r w:rsidR="00F10614" w:rsidRPr="00C64973">
        <w:t xml:space="preserve"> there are</w:t>
      </w:r>
      <w:r w:rsidR="000B3827" w:rsidRPr="00C64973">
        <w:t xml:space="preserve"> </w:t>
      </w:r>
      <w:r w:rsidR="00F10614" w:rsidRPr="00C64973">
        <w:t xml:space="preserve">only </w:t>
      </w:r>
      <w:r w:rsidR="000B3827" w:rsidRPr="00C64973">
        <w:t xml:space="preserve">5 fewer students receiving grants than in 2019. </w:t>
      </w:r>
      <w:r w:rsidR="00FE7ED2" w:rsidRPr="00C64973">
        <w:t xml:space="preserve"> </w:t>
      </w:r>
      <w:r w:rsidR="000B3827" w:rsidRPr="00C64973">
        <w:t xml:space="preserve">Eighty-three </w:t>
      </w:r>
      <w:r w:rsidR="0016356E" w:rsidRPr="00C64973">
        <w:t xml:space="preserve">percent of those in the </w:t>
      </w:r>
      <w:r w:rsidR="00723F4D" w:rsidRPr="00C64973">
        <w:t>TVI</w:t>
      </w:r>
      <w:r w:rsidR="00A047F0" w:rsidRPr="00C64973">
        <w:t xml:space="preserve"> certificat</w:t>
      </w:r>
      <w:r w:rsidR="000B3827" w:rsidRPr="00C64973">
        <w:t xml:space="preserve">ion programs and almost half </w:t>
      </w:r>
      <w:r w:rsidR="0016356E" w:rsidRPr="00C64973">
        <w:t>in the O</w:t>
      </w:r>
      <w:r w:rsidR="00ED666A" w:rsidRPr="00C64973">
        <w:t>&amp;M programs received assistance.</w:t>
      </w:r>
      <w:r w:rsidR="00505447" w:rsidRPr="00C64973">
        <w:t xml:space="preserve"> Tuition</w:t>
      </w:r>
      <w:r w:rsidR="002914F9" w:rsidRPr="00C64973">
        <w:t xml:space="preserve"> support</w:t>
      </w:r>
      <w:r w:rsidR="00505447" w:rsidRPr="00C64973">
        <w:t xml:space="preserve"> is a strong incentive for enrollment especially considering that gaining a certification to work with students with visual impairments does not typically lead to </w:t>
      </w:r>
      <w:r w:rsidR="008F0F88" w:rsidRPr="00C64973">
        <w:t>an increase in</w:t>
      </w:r>
      <w:r w:rsidR="00505447" w:rsidRPr="00C64973">
        <w:t xml:space="preserve"> salary.</w:t>
      </w:r>
    </w:p>
    <w:p w14:paraId="4B3FB261" w14:textId="2C75A057" w:rsidR="00ED666A" w:rsidRPr="00C64973" w:rsidRDefault="00E83653" w:rsidP="00ED666A">
      <w:pPr>
        <w:pStyle w:val="Heading3"/>
      </w:pPr>
      <w:r w:rsidRPr="00C64973">
        <w:t>Table 1</w:t>
      </w:r>
      <w:r w:rsidR="00BC0680" w:rsidRPr="00C64973">
        <w:t>4</w:t>
      </w:r>
      <w:r w:rsidRPr="00C64973">
        <w:t>: Percentage of Students Receiving Support through Texas Grant</w:t>
      </w:r>
      <w:r w:rsidR="00304E03" w:rsidRPr="00C64973">
        <w:t>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2502"/>
        <w:gridCol w:w="1258"/>
        <w:gridCol w:w="1258"/>
        <w:gridCol w:w="1258"/>
      </w:tblGrid>
      <w:tr w:rsidR="0032442F" w:rsidRPr="00C64973" w14:paraId="368F2879" w14:textId="351FE05C" w:rsidTr="008A2C9B">
        <w:trPr>
          <w:cantSplit/>
          <w:trHeight w:val="468"/>
          <w:tblHeader/>
          <w:jc w:val="center"/>
        </w:trPr>
        <w:tc>
          <w:tcPr>
            <w:tcW w:w="2502" w:type="dxa"/>
            <w:tcBorders>
              <w:top w:val="nil"/>
              <w:left w:val="nil"/>
              <w:right w:val="nil"/>
            </w:tcBorders>
          </w:tcPr>
          <w:p w14:paraId="622D57A1" w14:textId="32F0BB49" w:rsidR="0032442F" w:rsidRPr="00C64973" w:rsidRDefault="0032442F" w:rsidP="00CD6A91">
            <w:pPr>
              <w:pStyle w:val="Heading4"/>
              <w:spacing w:after="0"/>
            </w:pPr>
          </w:p>
        </w:tc>
        <w:tc>
          <w:tcPr>
            <w:tcW w:w="1258" w:type="dxa"/>
            <w:tcBorders>
              <w:top w:val="nil"/>
              <w:left w:val="nil"/>
              <w:right w:val="nil"/>
            </w:tcBorders>
          </w:tcPr>
          <w:p w14:paraId="6CD764EB" w14:textId="097BFCF3" w:rsidR="0032442F" w:rsidRPr="00C64973" w:rsidRDefault="0032442F" w:rsidP="00386A6A">
            <w:pPr>
              <w:jc w:val="center"/>
              <w:rPr>
                <w:b/>
              </w:rPr>
            </w:pPr>
            <w:r w:rsidRPr="00C64973">
              <w:rPr>
                <w:b/>
              </w:rPr>
              <w:t>2018</w:t>
            </w:r>
          </w:p>
        </w:tc>
        <w:tc>
          <w:tcPr>
            <w:tcW w:w="1258" w:type="dxa"/>
            <w:tcBorders>
              <w:top w:val="nil"/>
              <w:left w:val="nil"/>
              <w:right w:val="nil"/>
            </w:tcBorders>
          </w:tcPr>
          <w:p w14:paraId="1E477639" w14:textId="1A3DB95D" w:rsidR="0032442F" w:rsidRPr="00C64973" w:rsidRDefault="0032442F" w:rsidP="00386A6A">
            <w:pPr>
              <w:jc w:val="center"/>
              <w:rPr>
                <w:b/>
              </w:rPr>
            </w:pPr>
            <w:r w:rsidRPr="00C64973">
              <w:rPr>
                <w:b/>
              </w:rPr>
              <w:t>2019</w:t>
            </w:r>
          </w:p>
        </w:tc>
        <w:tc>
          <w:tcPr>
            <w:tcW w:w="1258" w:type="dxa"/>
            <w:tcBorders>
              <w:top w:val="nil"/>
              <w:left w:val="nil"/>
              <w:right w:val="nil"/>
            </w:tcBorders>
          </w:tcPr>
          <w:p w14:paraId="22EEEDC2" w14:textId="7EC6D29B" w:rsidR="0032442F" w:rsidRPr="00C64973" w:rsidRDefault="0032442F" w:rsidP="00386A6A">
            <w:pPr>
              <w:jc w:val="center"/>
              <w:rPr>
                <w:b/>
              </w:rPr>
            </w:pPr>
            <w:r w:rsidRPr="00C64973">
              <w:rPr>
                <w:b/>
              </w:rPr>
              <w:t>2020</w:t>
            </w:r>
          </w:p>
        </w:tc>
      </w:tr>
      <w:tr w:rsidR="0032442F" w:rsidRPr="00C64973" w14:paraId="0A2FCC54" w14:textId="4323F821" w:rsidTr="008A2C9B">
        <w:trPr>
          <w:trHeight w:val="634"/>
          <w:jc w:val="center"/>
        </w:trPr>
        <w:tc>
          <w:tcPr>
            <w:tcW w:w="2502" w:type="dxa"/>
            <w:shd w:val="clear" w:color="auto" w:fill="auto"/>
            <w:vAlign w:val="center"/>
          </w:tcPr>
          <w:p w14:paraId="3869122B" w14:textId="5B4A4ED1" w:rsidR="0032442F" w:rsidRPr="00C64973" w:rsidRDefault="0032442F" w:rsidP="004E6B67">
            <w:pPr>
              <w:spacing w:after="0" w:line="288" w:lineRule="auto"/>
              <w:rPr>
                <w:b/>
              </w:rPr>
            </w:pPr>
            <w:r w:rsidRPr="00C64973">
              <w:rPr>
                <w:b/>
              </w:rPr>
              <w:t>Percentage of students receiving TX stipends</w:t>
            </w:r>
          </w:p>
        </w:tc>
        <w:tc>
          <w:tcPr>
            <w:tcW w:w="1258" w:type="dxa"/>
            <w:vAlign w:val="center"/>
          </w:tcPr>
          <w:p w14:paraId="16B03CB3" w14:textId="46F6BDC1" w:rsidR="0032442F" w:rsidRPr="00C64973" w:rsidRDefault="0032442F" w:rsidP="00901ABE">
            <w:pPr>
              <w:spacing w:after="0" w:line="288" w:lineRule="auto"/>
              <w:jc w:val="center"/>
            </w:pPr>
            <w:r w:rsidRPr="00C64973">
              <w:t>79%</w:t>
            </w:r>
          </w:p>
        </w:tc>
        <w:tc>
          <w:tcPr>
            <w:tcW w:w="1258" w:type="dxa"/>
            <w:vAlign w:val="center"/>
          </w:tcPr>
          <w:p w14:paraId="0215677D" w14:textId="011BC7C2" w:rsidR="0032442F" w:rsidRPr="00C64973" w:rsidRDefault="0032442F" w:rsidP="0063074C">
            <w:pPr>
              <w:spacing w:after="0" w:line="288" w:lineRule="auto"/>
              <w:jc w:val="center"/>
            </w:pPr>
            <w:r w:rsidRPr="00C64973">
              <w:t>76%</w:t>
            </w:r>
          </w:p>
        </w:tc>
        <w:tc>
          <w:tcPr>
            <w:tcW w:w="1258" w:type="dxa"/>
            <w:vAlign w:val="center"/>
          </w:tcPr>
          <w:p w14:paraId="55F2DCDC" w14:textId="35D70254" w:rsidR="0032442F" w:rsidRPr="00C64973" w:rsidRDefault="0032442F" w:rsidP="0063074C">
            <w:pPr>
              <w:spacing w:after="0" w:line="288" w:lineRule="auto"/>
              <w:jc w:val="center"/>
            </w:pPr>
            <w:r w:rsidRPr="00C64973">
              <w:t>70%</w:t>
            </w:r>
          </w:p>
        </w:tc>
      </w:tr>
    </w:tbl>
    <w:p w14:paraId="0E705E8C" w14:textId="77777777" w:rsidR="00F10614" w:rsidRPr="00C64973" w:rsidRDefault="00F10614" w:rsidP="00C53E99">
      <w:pPr>
        <w:spacing w:line="288" w:lineRule="auto"/>
      </w:pPr>
    </w:p>
    <w:p w14:paraId="3BCE674E" w14:textId="0474F01E" w:rsidR="00963073" w:rsidRPr="00C64973" w:rsidRDefault="00F10614" w:rsidP="004015BB">
      <w:pPr>
        <w:spacing w:line="288" w:lineRule="auto"/>
      </w:pPr>
      <w:r w:rsidRPr="00C64973">
        <w:t>It is encouraging to see enrollment in the VI and O&amp;M univers</w:t>
      </w:r>
      <w:r w:rsidR="000E3ADA">
        <w:t>ity programs grow by a significant 18% this year</w:t>
      </w:r>
      <w:r w:rsidRPr="00C64973">
        <w:t xml:space="preserve">. </w:t>
      </w:r>
      <w:r w:rsidR="00C53E99" w:rsidRPr="00C64973">
        <w:t xml:space="preserve">Given that </w:t>
      </w:r>
      <w:r w:rsidR="004015BB" w:rsidRPr="00C64973">
        <w:t>stipends curr</w:t>
      </w:r>
      <w:r w:rsidR="000122CD">
        <w:t xml:space="preserve">ently support most </w:t>
      </w:r>
      <w:r w:rsidR="004015BB" w:rsidRPr="00C64973">
        <w:t>of those enrolled</w:t>
      </w:r>
      <w:r w:rsidRPr="00C64973">
        <w:t xml:space="preserve">, </w:t>
      </w:r>
      <w:r w:rsidR="00C53E99" w:rsidRPr="00C64973">
        <w:t>funding will remain an essential factor in the training of new TVIs</w:t>
      </w:r>
      <w:r w:rsidR="004015BB" w:rsidRPr="00C64973">
        <w:t xml:space="preserve"> and COMS</w:t>
      </w:r>
      <w:r w:rsidR="00C53E99" w:rsidRPr="00C64973">
        <w:t xml:space="preserve">. </w:t>
      </w:r>
      <w:r w:rsidR="004015BB" w:rsidRPr="00C64973">
        <w:t>In addition to the need for continued</w:t>
      </w:r>
      <w:r w:rsidR="007B2394" w:rsidRPr="00C64973">
        <w:t xml:space="preserve"> funding fo</w:t>
      </w:r>
      <w:r w:rsidR="000122CD">
        <w:t>r student tuition going forward and</w:t>
      </w:r>
      <w:r w:rsidR="007B2394" w:rsidRPr="00C64973">
        <w:t xml:space="preserve"> as the university programs continue to grow</w:t>
      </w:r>
      <w:r w:rsidR="00BF607D" w:rsidRPr="00C64973">
        <w:t xml:space="preserve"> to meet statewide shortages</w:t>
      </w:r>
      <w:r w:rsidR="007B2394" w:rsidRPr="00C64973">
        <w:t>, there is also a need for</w:t>
      </w:r>
      <w:r w:rsidR="00BF607D" w:rsidRPr="00C64973">
        <w:t xml:space="preserve"> increased</w:t>
      </w:r>
      <w:r w:rsidR="007B2394" w:rsidRPr="00C64973">
        <w:t xml:space="preserve"> program operation funding, particularly funds to hire additional</w:t>
      </w:r>
      <w:r w:rsidR="00BF607D" w:rsidRPr="00C64973">
        <w:t xml:space="preserve"> full-time</w:t>
      </w:r>
      <w:r w:rsidR="007B2394" w:rsidRPr="00C64973">
        <w:t xml:space="preserve"> faculty to improve program quality and meet teacher candidate needs</w:t>
      </w:r>
      <w:r w:rsidR="00BF607D" w:rsidRPr="00C64973">
        <w:t>.</w:t>
      </w:r>
    </w:p>
    <w:p w14:paraId="3D9C70BE" w14:textId="71FBFD83" w:rsidR="00FB5EC4" w:rsidRPr="00C64973" w:rsidRDefault="0023796B" w:rsidP="0085355C">
      <w:pPr>
        <w:pStyle w:val="Heading1"/>
      </w:pPr>
      <w:bookmarkStart w:id="126" w:name="_Toc61607319"/>
      <w:r w:rsidRPr="00C64973">
        <w:t>Summary</w:t>
      </w:r>
      <w:bookmarkEnd w:id="126"/>
    </w:p>
    <w:p w14:paraId="359DFA2C" w14:textId="099CD145" w:rsidR="00FB5EC4" w:rsidRPr="00C64973" w:rsidRDefault="00FB5EC4">
      <w:pPr>
        <w:spacing w:line="288" w:lineRule="auto"/>
      </w:pPr>
      <w:r w:rsidRPr="00C64973">
        <w:t>This report reviewed characteristics of and indicators of need for VI professionals.</w:t>
      </w:r>
      <w:r w:rsidR="00573C61" w:rsidRPr="00C64973">
        <w:t xml:space="preserve"> </w:t>
      </w:r>
      <w:r w:rsidRPr="00C64973">
        <w:t>In September 20</w:t>
      </w:r>
      <w:r w:rsidR="00CC413D" w:rsidRPr="00C64973">
        <w:t>20</w:t>
      </w:r>
      <w:r w:rsidRPr="00C64973">
        <w:t xml:space="preserve">, Texas had </w:t>
      </w:r>
      <w:r w:rsidR="00EF1C93" w:rsidRPr="00C64973">
        <w:t>9</w:t>
      </w:r>
      <w:r w:rsidR="00C61328" w:rsidRPr="00C64973">
        <w:t>63</w:t>
      </w:r>
      <w:r w:rsidR="00145307" w:rsidRPr="00C64973">
        <w:t xml:space="preserve"> </w:t>
      </w:r>
      <w:r w:rsidRPr="00C64973">
        <w:t>individuals</w:t>
      </w:r>
      <w:r w:rsidR="00A115E2" w:rsidRPr="00C64973">
        <w:t xml:space="preserve"> (8</w:t>
      </w:r>
      <w:r w:rsidR="000E3ADA">
        <w:t>86.9</w:t>
      </w:r>
      <w:r w:rsidR="00A115E2" w:rsidRPr="00C64973">
        <w:t xml:space="preserve"> FTE</w:t>
      </w:r>
      <w:r w:rsidR="00D74EAE" w:rsidRPr="00C64973">
        <w:t>s</w:t>
      </w:r>
      <w:r w:rsidR="00A115E2" w:rsidRPr="00C64973">
        <w:t>)</w:t>
      </w:r>
      <w:r w:rsidRPr="00C64973">
        <w:t xml:space="preserve"> providing vision-related services, either directly to students or in a leadership and/or </w:t>
      </w:r>
      <w:r w:rsidR="00D74EAE" w:rsidRPr="00C64973">
        <w:t>technical-</w:t>
      </w:r>
      <w:r w:rsidRPr="00C64973">
        <w:t>assistance capacity.</w:t>
      </w:r>
      <w:r w:rsidR="00573C61" w:rsidRPr="00C64973">
        <w:t xml:space="preserve"> </w:t>
      </w:r>
      <w:r w:rsidRPr="00C64973">
        <w:t>After adjusting for dually certified professionals (</w:t>
      </w:r>
      <w:r w:rsidR="00C61328" w:rsidRPr="00C64973">
        <w:t>76</w:t>
      </w:r>
      <w:r w:rsidRPr="00C64973">
        <w:t>)</w:t>
      </w:r>
      <w:r w:rsidR="00D74EAE" w:rsidRPr="00C64973">
        <w:t>,</w:t>
      </w:r>
      <w:r w:rsidRPr="00C64973">
        <w:t xml:space="preserve"> there are </w:t>
      </w:r>
      <w:r w:rsidR="00C61328" w:rsidRPr="00C64973">
        <w:t>908</w:t>
      </w:r>
      <w:r w:rsidR="00051B40" w:rsidRPr="00C64973">
        <w:t xml:space="preserve"> </w:t>
      </w:r>
      <w:r w:rsidR="00804D1A" w:rsidRPr="00C64973">
        <w:t xml:space="preserve">individuals providing direct </w:t>
      </w:r>
      <w:r w:rsidRPr="00C64973">
        <w:t>service either on a full- or part-time basis.</w:t>
      </w:r>
      <w:r w:rsidR="00573C61" w:rsidRPr="00C64973">
        <w:t xml:space="preserve"> </w:t>
      </w:r>
      <w:r w:rsidRPr="00C64973">
        <w:t>The total includes the following full-</w:t>
      </w:r>
      <w:r w:rsidR="00804D1A" w:rsidRPr="00C64973">
        <w:t xml:space="preserve"> </w:t>
      </w:r>
      <w:r w:rsidRPr="00C64973">
        <w:t>or part-time individuals:</w:t>
      </w:r>
    </w:p>
    <w:p w14:paraId="77329792" w14:textId="1BDEFA47" w:rsidR="00C61328" w:rsidRPr="00C64973" w:rsidRDefault="00C61328" w:rsidP="00C61328">
      <w:pPr>
        <w:pStyle w:val="ListParagraph"/>
        <w:numPr>
          <w:ilvl w:val="0"/>
          <w:numId w:val="5"/>
        </w:numPr>
      </w:pPr>
      <w:r w:rsidRPr="00C64973">
        <w:t xml:space="preserve">669 teachers certified in visual impairments (TVIs) or 590 FTEs; a decrease of 25 individuals or 20 FTEs in one year. </w:t>
      </w:r>
    </w:p>
    <w:p w14:paraId="12FCFA14" w14:textId="01D4CCFC" w:rsidR="00FB5EC4" w:rsidRPr="00C64973" w:rsidRDefault="00C61328">
      <w:pPr>
        <w:numPr>
          <w:ilvl w:val="0"/>
          <w:numId w:val="5"/>
        </w:numPr>
        <w:spacing w:line="288" w:lineRule="auto"/>
      </w:pPr>
      <w:r w:rsidRPr="00C64973">
        <w:t>315</w:t>
      </w:r>
      <w:r w:rsidR="00C92E57" w:rsidRPr="00C64973">
        <w:t xml:space="preserve"> </w:t>
      </w:r>
      <w:r w:rsidR="00051B40" w:rsidRPr="00C64973">
        <w:t xml:space="preserve">certified </w:t>
      </w:r>
      <w:r w:rsidR="003E49DE" w:rsidRPr="00C64973">
        <w:t>orientation and mobility specialists</w:t>
      </w:r>
      <w:r w:rsidR="00FB5EC4" w:rsidRPr="00C64973">
        <w:t xml:space="preserve"> (</w:t>
      </w:r>
      <w:r w:rsidR="00D574E5">
        <w:t>COMS</w:t>
      </w:r>
      <w:r w:rsidR="003E49DE" w:rsidRPr="00C64973">
        <w:t xml:space="preserve">) or </w:t>
      </w:r>
      <w:r w:rsidRPr="00C64973">
        <w:t xml:space="preserve">250 </w:t>
      </w:r>
      <w:r w:rsidR="00804D1A" w:rsidRPr="00C64973">
        <w:t>FTEs</w:t>
      </w:r>
      <w:r w:rsidRPr="00C64973">
        <w:t xml:space="preserve">; an increase of 9 individuals and 9 </w:t>
      </w:r>
      <w:r w:rsidR="0074788F" w:rsidRPr="00C64973">
        <w:t>FTE</w:t>
      </w:r>
      <w:r w:rsidRPr="00C64973">
        <w:t>s from 2019</w:t>
      </w:r>
      <w:r w:rsidR="0074788F" w:rsidRPr="00C64973">
        <w:t xml:space="preserve">. </w:t>
      </w:r>
    </w:p>
    <w:p w14:paraId="0E129A66" w14:textId="03C88C89" w:rsidR="00FB5EC4" w:rsidRPr="00CC413D" w:rsidRDefault="00CC413D">
      <w:pPr>
        <w:numPr>
          <w:ilvl w:val="0"/>
          <w:numId w:val="5"/>
        </w:numPr>
        <w:spacing w:line="288" w:lineRule="auto"/>
      </w:pPr>
      <w:r w:rsidRPr="00C64973">
        <w:t>76</w:t>
      </w:r>
      <w:r w:rsidR="00051B40" w:rsidRPr="00C64973">
        <w:t xml:space="preserve"> </w:t>
      </w:r>
      <w:r w:rsidR="00FB5EC4" w:rsidRPr="00C64973">
        <w:t>d</w:t>
      </w:r>
      <w:r w:rsidR="00C10DAB" w:rsidRPr="00C64973">
        <w:t>ually certified professionals</w:t>
      </w:r>
      <w:r w:rsidRPr="00C64973">
        <w:t>; up</w:t>
      </w:r>
      <w:r>
        <w:t xml:space="preserve"> by 13 this year and the highest total on record</w:t>
      </w:r>
      <w:r w:rsidR="003C0698" w:rsidRPr="00CC413D">
        <w:t>.</w:t>
      </w:r>
    </w:p>
    <w:p w14:paraId="7AB9F951" w14:textId="77777777" w:rsidR="00FB5EC4" w:rsidRPr="00CC413D" w:rsidRDefault="00FB5EC4">
      <w:pPr>
        <w:spacing w:line="288" w:lineRule="auto"/>
      </w:pPr>
      <w:r w:rsidRPr="00CC413D">
        <w:t>In addition, there are:</w:t>
      </w:r>
    </w:p>
    <w:p w14:paraId="4B9E9674" w14:textId="5304F4C1" w:rsidR="006D5C38" w:rsidRPr="00CC413D" w:rsidRDefault="00FB5EC4" w:rsidP="006D5C38">
      <w:pPr>
        <w:numPr>
          <w:ilvl w:val="0"/>
          <w:numId w:val="5"/>
        </w:numPr>
        <w:spacing w:line="288" w:lineRule="auto"/>
      </w:pPr>
      <w:r w:rsidRPr="00CC413D">
        <w:t>5</w:t>
      </w:r>
      <w:r w:rsidR="00C92E57" w:rsidRPr="00CC413D">
        <w:t>5</w:t>
      </w:r>
      <w:r w:rsidR="00051B40" w:rsidRPr="00CC413D">
        <w:t xml:space="preserve"> </w:t>
      </w:r>
      <w:r w:rsidR="006D2E73" w:rsidRPr="00CC413D">
        <w:t xml:space="preserve">regional or statewide </w:t>
      </w:r>
      <w:r w:rsidRPr="00CC413D">
        <w:t>leadership</w:t>
      </w:r>
      <w:r w:rsidR="00C14729" w:rsidRPr="00CC413D">
        <w:t xml:space="preserve"> or </w:t>
      </w:r>
      <w:r w:rsidR="00D74EAE" w:rsidRPr="00CC413D">
        <w:t>technical-</w:t>
      </w:r>
      <w:r w:rsidR="000E3ADA">
        <w:t>assistance specialists;</w:t>
      </w:r>
      <w:r w:rsidR="00CC413D">
        <w:t xml:space="preserve"> approximately 47 FTEs.</w:t>
      </w:r>
    </w:p>
    <w:p w14:paraId="1DFECE10" w14:textId="25367716" w:rsidR="0063074C" w:rsidRPr="006310AF" w:rsidRDefault="00CC413D" w:rsidP="00991701">
      <w:pPr>
        <w:numPr>
          <w:ilvl w:val="1"/>
          <w:numId w:val="5"/>
        </w:numPr>
        <w:spacing w:after="0" w:line="288" w:lineRule="auto"/>
      </w:pPr>
      <w:r w:rsidRPr="006310AF">
        <w:t>25</w:t>
      </w:r>
      <w:r w:rsidR="00145307" w:rsidRPr="006310AF">
        <w:t xml:space="preserve"> individuals or</w:t>
      </w:r>
      <w:r w:rsidRPr="006310AF">
        <w:t xml:space="preserve"> 21.1</w:t>
      </w:r>
      <w:r w:rsidR="0063074C" w:rsidRPr="006310AF">
        <w:t xml:space="preserve"> FTEs are at the regional education</w:t>
      </w:r>
      <w:r w:rsidR="007E4CD1" w:rsidRPr="006310AF">
        <w:t xml:space="preserve"> </w:t>
      </w:r>
      <w:r w:rsidR="0063074C" w:rsidRPr="006310AF">
        <w:t>service centers (ESC</w:t>
      </w:r>
      <w:r w:rsidR="000E3ADA">
        <w:t>s</w:t>
      </w:r>
      <w:r w:rsidR="0063074C" w:rsidRPr="006310AF">
        <w:t>)</w:t>
      </w:r>
      <w:r w:rsidR="00573C61" w:rsidRPr="006310AF">
        <w:t xml:space="preserve"> </w:t>
      </w:r>
    </w:p>
    <w:p w14:paraId="53340132" w14:textId="05008CE5" w:rsidR="0063074C" w:rsidRPr="006310AF" w:rsidRDefault="00CC413D" w:rsidP="0063074C">
      <w:pPr>
        <w:numPr>
          <w:ilvl w:val="1"/>
          <w:numId w:val="5"/>
        </w:numPr>
        <w:spacing w:line="288" w:lineRule="auto"/>
      </w:pPr>
      <w:r w:rsidRPr="006310AF">
        <w:t>30</w:t>
      </w:r>
      <w:r w:rsidR="00883495" w:rsidRPr="006310AF">
        <w:t xml:space="preserve"> individual</w:t>
      </w:r>
      <w:r w:rsidRPr="006310AF">
        <w:t>s or 25</w:t>
      </w:r>
      <w:r w:rsidR="00051B40" w:rsidRPr="006310AF">
        <w:t>.8</w:t>
      </w:r>
      <w:r w:rsidR="0063074C" w:rsidRPr="006310AF">
        <w:t xml:space="preserve"> FTEs are at the Texas School for the Blind and Visually Impaired either in Outreach or </w:t>
      </w:r>
      <w:r w:rsidR="007E4CD1" w:rsidRPr="006310AF">
        <w:t>Short-</w:t>
      </w:r>
      <w:r w:rsidR="0063074C" w:rsidRPr="006310AF">
        <w:t>Term Programs</w:t>
      </w:r>
    </w:p>
    <w:p w14:paraId="0D1EBCA6" w14:textId="1B2C69B2" w:rsidR="00FB5EC4" w:rsidRPr="00CC413D" w:rsidRDefault="00051B40" w:rsidP="00154EA0">
      <w:pPr>
        <w:spacing w:line="288" w:lineRule="auto"/>
      </w:pPr>
      <w:r w:rsidRPr="00CC413D">
        <w:t>With a c</w:t>
      </w:r>
      <w:r w:rsidR="00CC413D" w:rsidRPr="00CC413D">
        <w:t>urrent total of 25</w:t>
      </w:r>
      <w:r w:rsidR="00CE0871" w:rsidRPr="00CC413D">
        <w:t xml:space="preserve">, the </w:t>
      </w:r>
      <w:r w:rsidR="00A115E2" w:rsidRPr="00CC413D">
        <w:t>number of individuals</w:t>
      </w:r>
      <w:r w:rsidR="005533A3" w:rsidRPr="00CC413D">
        <w:t xml:space="preserve"> providing leadership and technical assistance</w:t>
      </w:r>
      <w:r w:rsidR="003B098C" w:rsidRPr="00CC413D">
        <w:t xml:space="preserve"> at the ESCs</w:t>
      </w:r>
      <w:r w:rsidR="00CC413D" w:rsidRPr="00CC413D">
        <w:t xml:space="preserve"> decreased by two </w:t>
      </w:r>
      <w:r w:rsidR="000F2B3F" w:rsidRPr="00CC413D">
        <w:t>individual</w:t>
      </w:r>
      <w:r w:rsidR="00720222" w:rsidRPr="00CC413D">
        <w:t>s</w:t>
      </w:r>
      <w:r w:rsidR="000F2B3F" w:rsidRPr="00CC413D">
        <w:t xml:space="preserve"> </w:t>
      </w:r>
      <w:r w:rsidR="00883495" w:rsidRPr="00CC413D">
        <w:t xml:space="preserve">in </w:t>
      </w:r>
      <w:r w:rsidR="00CC413D" w:rsidRPr="00CC413D">
        <w:t>2020</w:t>
      </w:r>
      <w:r w:rsidR="00883495" w:rsidRPr="00CC413D">
        <w:t>. Th</w:t>
      </w:r>
      <w:r w:rsidR="000F2B3F" w:rsidRPr="00CC413D">
        <w:t xml:space="preserve">e </w:t>
      </w:r>
      <w:r w:rsidR="0063074C" w:rsidRPr="00CC413D">
        <w:t xml:space="preserve">time available to </w:t>
      </w:r>
      <w:r w:rsidR="00A229A5" w:rsidRPr="00CC413D">
        <w:t>assist districts an</w:t>
      </w:r>
      <w:r w:rsidR="00CC413D" w:rsidRPr="00CC413D">
        <w:t>d families dropped slightly</w:t>
      </w:r>
      <w:r w:rsidR="00DA55CB" w:rsidRPr="00CC413D">
        <w:t>;</w:t>
      </w:r>
      <w:r w:rsidR="000F2B3F" w:rsidRPr="00CC413D">
        <w:t xml:space="preserve"> </w:t>
      </w:r>
      <w:r w:rsidR="00CC413D" w:rsidRPr="00CC413D">
        <w:t>ESCs reported 21</w:t>
      </w:r>
      <w:r w:rsidR="00430AB6" w:rsidRPr="00CC413D">
        <w:t xml:space="preserve"> FTEs this year and </w:t>
      </w:r>
      <w:r w:rsidR="00CC413D" w:rsidRPr="00CC413D">
        <w:t>23.5</w:t>
      </w:r>
      <w:r w:rsidR="00883495" w:rsidRPr="00CC413D">
        <w:t xml:space="preserve"> </w:t>
      </w:r>
      <w:r w:rsidR="00153C06" w:rsidRPr="00CC413D">
        <w:t>i</w:t>
      </w:r>
      <w:r w:rsidR="00A229A5" w:rsidRPr="00CC413D">
        <w:t xml:space="preserve">n </w:t>
      </w:r>
      <w:r w:rsidR="000F2B3F" w:rsidRPr="00CC413D">
        <w:t>2</w:t>
      </w:r>
      <w:r w:rsidR="00CC413D" w:rsidRPr="00CC413D">
        <w:t>019</w:t>
      </w:r>
      <w:r w:rsidR="00430AB6" w:rsidRPr="00CC413D">
        <w:t>.</w:t>
      </w:r>
    </w:p>
    <w:p w14:paraId="375D340A" w14:textId="1B76CF05" w:rsidR="000A481D" w:rsidRPr="00BA167C" w:rsidRDefault="006D5C38">
      <w:pPr>
        <w:pStyle w:val="Header"/>
        <w:tabs>
          <w:tab w:val="clear" w:pos="4320"/>
          <w:tab w:val="clear" w:pos="8640"/>
        </w:tabs>
        <w:spacing w:line="288" w:lineRule="auto"/>
        <w:rPr>
          <w:color w:val="000000" w:themeColor="text1"/>
        </w:rPr>
      </w:pPr>
      <w:r w:rsidRPr="00BA167C">
        <w:t>The total</w:t>
      </w:r>
      <w:r w:rsidR="00720222" w:rsidRPr="00BA167C">
        <w:t xml:space="preserve"> number of VI providers</w:t>
      </w:r>
      <w:r w:rsidR="00A2311F">
        <w:t xml:space="preserve"> available to serve students in 2020</w:t>
      </w:r>
      <w:r w:rsidR="005E0CAD" w:rsidRPr="00BA167C">
        <w:t xml:space="preserve"> </w:t>
      </w:r>
      <w:r w:rsidR="00BA167C" w:rsidRPr="00BA167C">
        <w:t>decreased to 908</w:t>
      </w:r>
      <w:r w:rsidR="00720222" w:rsidRPr="00BA167C">
        <w:t xml:space="preserve"> individuals</w:t>
      </w:r>
      <w:r w:rsidR="007045F2" w:rsidRPr="00BA167C">
        <w:t xml:space="preserve"> (adjusted for dua</w:t>
      </w:r>
      <w:r w:rsidR="00495B21">
        <w:t>l</w:t>
      </w:r>
      <w:r w:rsidR="007045F2" w:rsidRPr="00BA167C">
        <w:t>l</w:t>
      </w:r>
      <w:r w:rsidR="00495B21">
        <w:t>y</w:t>
      </w:r>
      <w:r w:rsidR="007045F2" w:rsidRPr="00BA167C">
        <w:t xml:space="preserve"> certified professionals)</w:t>
      </w:r>
      <w:r w:rsidR="00720222" w:rsidRPr="00BA167C">
        <w:t>,</w:t>
      </w:r>
      <w:r w:rsidR="00BA167C" w:rsidRPr="00BA167C">
        <w:t xml:space="preserve"> from 937 in 2019</w:t>
      </w:r>
      <w:r w:rsidR="00465717" w:rsidRPr="00BA167C">
        <w:t xml:space="preserve">. </w:t>
      </w:r>
      <w:r w:rsidR="008C6280" w:rsidRPr="00BA167C">
        <w:t>The</w:t>
      </w:r>
      <w:r w:rsidR="00430AB6" w:rsidRPr="00BA167C">
        <w:t xml:space="preserve"> </w:t>
      </w:r>
      <w:r w:rsidR="000A481D" w:rsidRPr="00BA167C">
        <w:t xml:space="preserve">number of individual </w:t>
      </w:r>
      <w:r w:rsidR="00723F4D" w:rsidRPr="00BA167C">
        <w:t>TVI</w:t>
      </w:r>
      <w:r w:rsidR="00BA167C" w:rsidRPr="00BA167C">
        <w:t>s de</w:t>
      </w:r>
      <w:r w:rsidR="00720222" w:rsidRPr="00BA167C">
        <w:t xml:space="preserve">creased by </w:t>
      </w:r>
      <w:r w:rsidR="00BA167C" w:rsidRPr="00BA167C">
        <w:t xml:space="preserve">25 (20 </w:t>
      </w:r>
      <w:r w:rsidR="007045F2" w:rsidRPr="00BA167C">
        <w:t>FTEs)</w:t>
      </w:r>
      <w:r w:rsidR="00CE0871" w:rsidRPr="00BA167C">
        <w:t xml:space="preserve">, </w:t>
      </w:r>
      <w:r w:rsidR="007045F2" w:rsidRPr="00BA167C">
        <w:t xml:space="preserve">while </w:t>
      </w:r>
      <w:r w:rsidR="00CE0871" w:rsidRPr="00BA167C">
        <w:t>the number o</w:t>
      </w:r>
      <w:r w:rsidR="000F2B3F" w:rsidRPr="00BA167C">
        <w:t xml:space="preserve">f students increased by </w:t>
      </w:r>
      <w:r w:rsidR="00BA167C" w:rsidRPr="00BA167C">
        <w:t>372</w:t>
      </w:r>
      <w:r w:rsidR="000F2B3F" w:rsidRPr="00BA167C">
        <w:t xml:space="preserve"> across the state</w:t>
      </w:r>
      <w:r w:rsidR="00CE0871" w:rsidRPr="00BA167C">
        <w:t>.</w:t>
      </w:r>
      <w:r w:rsidR="007045F2" w:rsidRPr="00BA167C">
        <w:t xml:space="preserve"> </w:t>
      </w:r>
      <w:r w:rsidR="00B61E40" w:rsidRPr="00BA167C">
        <w:t xml:space="preserve">The </w:t>
      </w:r>
      <w:r w:rsidR="00A803DE" w:rsidRPr="00BA167C">
        <w:t xml:space="preserve">number of </w:t>
      </w:r>
      <w:r w:rsidR="00D574E5">
        <w:t>COMS</w:t>
      </w:r>
      <w:r w:rsidR="00B61E40" w:rsidRPr="00BA167C">
        <w:t xml:space="preserve"> </w:t>
      </w:r>
      <w:r w:rsidR="00063AAB" w:rsidRPr="00BA167C">
        <w:t>in</w:t>
      </w:r>
      <w:r w:rsidR="000A0D0F" w:rsidRPr="00BA167C">
        <w:t>creased</w:t>
      </w:r>
      <w:r w:rsidR="00B61E40" w:rsidRPr="00BA167C">
        <w:t xml:space="preserve"> from </w:t>
      </w:r>
      <w:r w:rsidR="00BA167C" w:rsidRPr="00BA167C">
        <w:t>306</w:t>
      </w:r>
      <w:r w:rsidR="008255AC" w:rsidRPr="00BA167C">
        <w:t xml:space="preserve"> </w:t>
      </w:r>
      <w:r w:rsidR="00B61E40" w:rsidRPr="00BA167C">
        <w:t xml:space="preserve">to </w:t>
      </w:r>
      <w:r w:rsidR="00BA167C" w:rsidRPr="00BA167C">
        <w:t>315</w:t>
      </w:r>
      <w:r w:rsidR="00625390" w:rsidRPr="00BA167C">
        <w:t xml:space="preserve"> </w:t>
      </w:r>
      <w:r w:rsidR="008255AC" w:rsidRPr="00BA167C">
        <w:t>in</w:t>
      </w:r>
      <w:r w:rsidR="00BA167C" w:rsidRPr="00BA167C">
        <w:t xml:space="preserve">dividuals, or by approximately 3 </w:t>
      </w:r>
      <w:r w:rsidR="00C64973" w:rsidRPr="00BA167C">
        <w:t>percent</w:t>
      </w:r>
      <w:r w:rsidR="00A2311F">
        <w:t>,</w:t>
      </w:r>
      <w:r w:rsidR="00C64973">
        <w:t xml:space="preserve"> </w:t>
      </w:r>
      <w:r w:rsidR="00C64973" w:rsidRPr="00BA167C">
        <w:t>as</w:t>
      </w:r>
      <w:r w:rsidR="000A481D" w:rsidRPr="00BA167C">
        <w:rPr>
          <w:color w:val="000000" w:themeColor="text1"/>
        </w:rPr>
        <w:t xml:space="preserve"> 25% of the current number of students with a visual impairment</w:t>
      </w:r>
      <w:r w:rsidR="00720222" w:rsidRPr="00BA167C">
        <w:rPr>
          <w:color w:val="000000" w:themeColor="text1"/>
        </w:rPr>
        <w:t xml:space="preserve"> are still i</w:t>
      </w:r>
      <w:r w:rsidR="000A481D" w:rsidRPr="00BA167C">
        <w:rPr>
          <w:color w:val="000000" w:themeColor="text1"/>
        </w:rPr>
        <w:t>n need of an O&amp;M evaluation.</w:t>
      </w:r>
    </w:p>
    <w:p w14:paraId="2DF9ACA1" w14:textId="34CBF589" w:rsidR="00AD0C19" w:rsidRPr="007E0C47" w:rsidRDefault="00BA167C" w:rsidP="0023796B">
      <w:pPr>
        <w:spacing w:line="288" w:lineRule="auto"/>
      </w:pPr>
      <w:r w:rsidRPr="00BA167C">
        <w:t>T</w:t>
      </w:r>
      <w:r w:rsidR="00093FBE" w:rsidRPr="00BA167C">
        <w:t xml:space="preserve">he VI field saw </w:t>
      </w:r>
      <w:r w:rsidR="00A51D37" w:rsidRPr="00BA167C">
        <w:t>an increase</w:t>
      </w:r>
      <w:r w:rsidR="0035601A" w:rsidRPr="00BA167C">
        <w:t xml:space="preserve"> in</w:t>
      </w:r>
      <w:r w:rsidR="00046B87" w:rsidRPr="00BA167C">
        <w:t xml:space="preserve"> </w:t>
      </w:r>
      <w:r>
        <w:t xml:space="preserve">the number of VI professionals who are </w:t>
      </w:r>
      <w:r w:rsidR="000A0D0F" w:rsidRPr="00BA167C">
        <w:t xml:space="preserve">African-American </w:t>
      </w:r>
      <w:r w:rsidR="003C0698" w:rsidRPr="00BA167C">
        <w:t>(+</w:t>
      </w:r>
      <w:r w:rsidRPr="00BA167C">
        <w:t>1</w:t>
      </w:r>
      <w:r w:rsidR="003C0698" w:rsidRPr="00BA167C">
        <w:t>5</w:t>
      </w:r>
      <w:r w:rsidR="00093FBE" w:rsidRPr="00BA167C">
        <w:t>)</w:t>
      </w:r>
      <w:r>
        <w:t xml:space="preserve"> </w:t>
      </w:r>
      <w:r w:rsidR="007E0C47">
        <w:t xml:space="preserve">and those who are fluent in Spanish (+8) </w:t>
      </w:r>
      <w:r>
        <w:t xml:space="preserve">and a decrease in the </w:t>
      </w:r>
      <w:r w:rsidRPr="007E0C47">
        <w:t xml:space="preserve">number of </w:t>
      </w:r>
      <w:r w:rsidR="00C7238A" w:rsidRPr="007E0C47">
        <w:t xml:space="preserve">VI </w:t>
      </w:r>
      <w:r w:rsidR="005744DB" w:rsidRPr="007E0C47">
        <w:t>pro</w:t>
      </w:r>
      <w:r w:rsidR="00720222" w:rsidRPr="007E0C47">
        <w:t xml:space="preserve">fessionals </w:t>
      </w:r>
      <w:r w:rsidRPr="007E0C47">
        <w:t>who are Hispan</w:t>
      </w:r>
      <w:r w:rsidR="007E0C47" w:rsidRPr="007E0C47">
        <w:t>i</w:t>
      </w:r>
      <w:r w:rsidRPr="007E0C47">
        <w:t>c (</w:t>
      </w:r>
      <w:r w:rsidR="007E0C47" w:rsidRPr="007E0C47">
        <w:t>-8</w:t>
      </w:r>
      <w:r w:rsidR="005744DB" w:rsidRPr="007E0C47">
        <w:t>)</w:t>
      </w:r>
      <w:r w:rsidR="0052038E" w:rsidRPr="007E0C47">
        <w:t xml:space="preserve"> and Asian</w:t>
      </w:r>
      <w:r w:rsidR="007E7A09" w:rsidRPr="007E0C47">
        <w:t>-American</w:t>
      </w:r>
      <w:r w:rsidR="007E0C47" w:rsidRPr="007E0C47">
        <w:t xml:space="preserve"> (-2</w:t>
      </w:r>
      <w:r w:rsidR="0052038E" w:rsidRPr="007E0C47">
        <w:t>)</w:t>
      </w:r>
      <w:r w:rsidR="005744DB" w:rsidRPr="007E0C47">
        <w:t xml:space="preserve">. </w:t>
      </w:r>
      <w:r w:rsidR="007E0C47" w:rsidRPr="007E0C47">
        <w:t>Although th</w:t>
      </w:r>
      <w:r w:rsidR="00A2311F">
        <w:t xml:space="preserve">ere were indications of some growth </w:t>
      </w:r>
      <w:r w:rsidR="007E0C47" w:rsidRPr="007E0C47">
        <w:t>in</w:t>
      </w:r>
      <w:r w:rsidR="007E0C47">
        <w:t xml:space="preserve"> the</w:t>
      </w:r>
      <w:r w:rsidR="007E0C47" w:rsidRPr="007E0C47">
        <w:t xml:space="preserve"> cultural diversity</w:t>
      </w:r>
      <w:r w:rsidR="007E0C47">
        <w:t xml:space="preserve"> of the VI field</w:t>
      </w:r>
      <w:r w:rsidR="007E0C47" w:rsidRPr="007E0C47">
        <w:t xml:space="preserve"> in 2020, c</w:t>
      </w:r>
      <w:r w:rsidR="00093FBE" w:rsidRPr="007E0C47">
        <w:t xml:space="preserve">ontinued </w:t>
      </w:r>
      <w:r w:rsidR="00F95E9C" w:rsidRPr="007E0C47">
        <w:t xml:space="preserve">efforts to expand diversity to reflect the </w:t>
      </w:r>
      <w:r w:rsidR="00093FBE" w:rsidRPr="007E0C47">
        <w:t xml:space="preserve">student demographic are </w:t>
      </w:r>
      <w:r w:rsidR="00C7238A" w:rsidRPr="007E0C47">
        <w:t xml:space="preserve">still </w:t>
      </w:r>
      <w:r w:rsidR="00A2311F">
        <w:t>needed</w:t>
      </w:r>
      <w:r w:rsidR="00F95E9C" w:rsidRPr="007E0C47">
        <w:t xml:space="preserve">.  </w:t>
      </w:r>
    </w:p>
    <w:p w14:paraId="55952102" w14:textId="672E8440" w:rsidR="0031619B" w:rsidRPr="007E0C47" w:rsidRDefault="0031619B" w:rsidP="0031619B">
      <w:pPr>
        <w:spacing w:line="288" w:lineRule="auto"/>
      </w:pPr>
      <w:r w:rsidRPr="006310AF">
        <w:t>This report uses a knowledgeable informant model</w:t>
      </w:r>
      <w:r w:rsidR="006310AF" w:rsidRPr="006310AF">
        <w:t xml:space="preserve"> and </w:t>
      </w:r>
      <w:r w:rsidRPr="006310AF">
        <w:t>considers the recommendations of the VI specialists at the re</w:t>
      </w:r>
      <w:r w:rsidR="00495B21">
        <w:t>gional ESCs</w:t>
      </w:r>
      <w:r w:rsidRPr="006310AF">
        <w:t xml:space="preserve"> to be the best indicators of real need in Texas. These professionals have extensive knowledge of their districts and region</w:t>
      </w:r>
      <w:r w:rsidRPr="007E0C47">
        <w:t>.</w:t>
      </w:r>
      <w:r w:rsidRPr="007E0C47">
        <w:rPr>
          <w:noProof/>
          <w:lang w:eastAsia="zh-TW"/>
        </w:rPr>
        <w:t xml:space="preserve"> </w:t>
      </w:r>
      <w:r w:rsidRPr="007E0C47">
        <w:t>ESC estimates</w:t>
      </w:r>
      <w:r w:rsidR="007E0C47">
        <w:t xml:space="preserve"> continue to</w:t>
      </w:r>
      <w:r w:rsidRPr="007E0C47">
        <w:t xml:space="preserve"> indicate a growing need for additional VI professionals over the next three years. Specifically, their projected long</w:t>
      </w:r>
      <w:r w:rsidR="007E0C47">
        <w:t>er</w:t>
      </w:r>
      <w:r w:rsidRPr="007E0C47">
        <w:t xml:space="preserve">-term need overall for VI professionals </w:t>
      </w:r>
      <w:r w:rsidR="007E0C47">
        <w:t xml:space="preserve">is </w:t>
      </w:r>
      <w:r w:rsidR="006310AF" w:rsidRPr="007E0C47">
        <w:t>211</w:t>
      </w:r>
      <w:r w:rsidRPr="007E0C47">
        <w:t xml:space="preserve"> (adjusted for dually certified professionals)</w:t>
      </w:r>
      <w:r w:rsidR="007E0C47">
        <w:t>. This is only slightly lower than the longer-term need of 216 made by the ESCs last year, the highest total ever reported</w:t>
      </w:r>
      <w:r w:rsidRPr="007E0C47">
        <w:t xml:space="preserve">. </w:t>
      </w:r>
    </w:p>
    <w:p w14:paraId="0DF22B07" w14:textId="7986247F" w:rsidR="00A77784" w:rsidRPr="00985EA6" w:rsidRDefault="00E41DF6" w:rsidP="00985EA6">
      <w:pPr>
        <w:pStyle w:val="Header"/>
        <w:tabs>
          <w:tab w:val="clear" w:pos="4320"/>
          <w:tab w:val="clear" w:pos="8640"/>
        </w:tabs>
        <w:spacing w:line="288" w:lineRule="auto"/>
        <w:rPr>
          <w:highlight w:val="green"/>
        </w:rPr>
      </w:pPr>
      <w:r w:rsidRPr="007E0C47">
        <w:t xml:space="preserve">An </w:t>
      </w:r>
      <w:r w:rsidR="000F3B21" w:rsidRPr="007E0C47">
        <w:t>examination of attrition</w:t>
      </w:r>
      <w:r w:rsidR="00AC4990" w:rsidRPr="007E0C47">
        <w:t xml:space="preserve">, projected attrition, student population growth and need </w:t>
      </w:r>
      <w:r w:rsidR="000F3B21" w:rsidRPr="007E0C47">
        <w:t>within the pa</w:t>
      </w:r>
      <w:r w:rsidR="00A51D37" w:rsidRPr="007E0C47">
        <w:t>st yea</w:t>
      </w:r>
      <w:r w:rsidR="00A2311F">
        <w:t xml:space="preserve">r yielded striking </w:t>
      </w:r>
      <w:r w:rsidR="002C6573" w:rsidRPr="007E0C47">
        <w:t xml:space="preserve">results. </w:t>
      </w:r>
      <w:r w:rsidR="00985EA6" w:rsidRPr="00985EA6">
        <w:t>This year’s attrition total is among th</w:t>
      </w:r>
      <w:r w:rsidR="00985EA6">
        <w:t xml:space="preserve">e highest reported by the ESCs, increasing from 44 to 49 </w:t>
      </w:r>
      <w:r w:rsidR="001D702F" w:rsidRPr="00985EA6">
        <w:t xml:space="preserve">individuals </w:t>
      </w:r>
      <w:r w:rsidR="009B054F">
        <w:t>which falls</w:t>
      </w:r>
      <w:r w:rsidR="003E1774" w:rsidRPr="00985EA6">
        <w:t xml:space="preserve"> above</w:t>
      </w:r>
      <w:r w:rsidR="0052038E" w:rsidRPr="00985EA6">
        <w:t xml:space="preserve"> the 5</w:t>
      </w:r>
      <w:r w:rsidRPr="00985EA6">
        <w:t>-year average</w:t>
      </w:r>
      <w:r w:rsidR="00985EA6" w:rsidRPr="00985EA6">
        <w:t xml:space="preserve"> of 41 and the 10-year average of 45</w:t>
      </w:r>
      <w:r w:rsidRPr="00985EA6">
        <w:t xml:space="preserve"> a</w:t>
      </w:r>
      <w:r w:rsidR="00985EA6">
        <w:t xml:space="preserve">cross all VI professionals. </w:t>
      </w:r>
    </w:p>
    <w:p w14:paraId="4AEFB900" w14:textId="769EA1F3" w:rsidR="00942873" w:rsidRPr="009B054F" w:rsidRDefault="00FB5EC4" w:rsidP="0092770E">
      <w:pPr>
        <w:spacing w:line="288" w:lineRule="auto"/>
        <w:rPr>
          <w:rFonts w:cs="Calibri"/>
        </w:rPr>
      </w:pPr>
      <w:r w:rsidRPr="009B054F">
        <w:t xml:space="preserve">The </w:t>
      </w:r>
      <w:r w:rsidR="009B054F" w:rsidRPr="009B054F">
        <w:t xml:space="preserve">projected 3-year attrition is </w:t>
      </w:r>
      <w:r w:rsidR="00106534" w:rsidRPr="009B054F">
        <w:t xml:space="preserve">estimated at </w:t>
      </w:r>
      <w:r w:rsidR="009B054F" w:rsidRPr="009B054F">
        <w:t>129</w:t>
      </w:r>
      <w:r w:rsidRPr="009B054F">
        <w:t>, or 1</w:t>
      </w:r>
      <w:r w:rsidR="009B054F" w:rsidRPr="009B054F">
        <w:t>3</w:t>
      </w:r>
      <w:r w:rsidRPr="009B054F">
        <w:t xml:space="preserve">% of </w:t>
      </w:r>
      <w:r w:rsidR="009A305B" w:rsidRPr="009B054F">
        <w:t>all</w:t>
      </w:r>
      <w:r w:rsidRPr="009B054F">
        <w:t xml:space="preserve"> VI professionals.</w:t>
      </w:r>
      <w:r w:rsidR="00573C61" w:rsidRPr="009B054F">
        <w:t xml:space="preserve"> </w:t>
      </w:r>
      <w:r w:rsidR="0052038E" w:rsidRPr="009B054F">
        <w:rPr>
          <w:rFonts w:cs="Calibri"/>
        </w:rPr>
        <w:t xml:space="preserve">This is a much higher number </w:t>
      </w:r>
      <w:r w:rsidR="0092770E" w:rsidRPr="009B054F">
        <w:rPr>
          <w:rFonts w:cs="Calibri"/>
        </w:rPr>
        <w:t>than seen</w:t>
      </w:r>
      <w:r w:rsidR="0052038E" w:rsidRPr="009B054F">
        <w:rPr>
          <w:rFonts w:cs="Calibri"/>
        </w:rPr>
        <w:t xml:space="preserve"> over the last two years, with the majority of</w:t>
      </w:r>
      <w:r w:rsidR="009B054F" w:rsidRPr="009B054F">
        <w:rPr>
          <w:rFonts w:cs="Calibri"/>
        </w:rPr>
        <w:t xml:space="preserve"> the increase projected for TVIs and those who are functioning in a dually certified role</w:t>
      </w:r>
      <w:r w:rsidR="0052038E" w:rsidRPr="009B054F">
        <w:rPr>
          <w:rFonts w:cs="Calibri"/>
        </w:rPr>
        <w:t xml:space="preserve">. </w:t>
      </w:r>
      <w:r w:rsidR="0052038E" w:rsidRPr="009B054F">
        <w:rPr>
          <w:color w:val="000000" w:themeColor="text1"/>
        </w:rPr>
        <w:t>A</w:t>
      </w:r>
      <w:r w:rsidR="009A305B" w:rsidRPr="009B054F">
        <w:rPr>
          <w:color w:val="000000" w:themeColor="text1"/>
        </w:rPr>
        <w:t>lthough the regional VI consultants are the best predictors for attrition</w:t>
      </w:r>
      <w:r w:rsidR="009B054F">
        <w:rPr>
          <w:color w:val="000000" w:themeColor="text1"/>
        </w:rPr>
        <w:t xml:space="preserve"> and we have seen the</w:t>
      </w:r>
      <w:r w:rsidR="0025099A" w:rsidRPr="009B054F">
        <w:rPr>
          <w:color w:val="000000" w:themeColor="text1"/>
        </w:rPr>
        <w:t xml:space="preserve"> projected vs. ac</w:t>
      </w:r>
      <w:r w:rsidR="009B054F">
        <w:rPr>
          <w:color w:val="000000" w:themeColor="text1"/>
        </w:rPr>
        <w:t>tual attrition gap almost close</w:t>
      </w:r>
      <w:r w:rsidR="009A305B" w:rsidRPr="009B054F">
        <w:rPr>
          <w:color w:val="000000" w:themeColor="text1"/>
        </w:rPr>
        <w:t>,</w:t>
      </w:r>
      <w:r w:rsidR="00FF3A6D" w:rsidRPr="009B054F">
        <w:rPr>
          <w:color w:val="000000" w:themeColor="text1"/>
        </w:rPr>
        <w:t xml:space="preserve"> even</w:t>
      </w:r>
      <w:r w:rsidR="009A305B" w:rsidRPr="009B054F">
        <w:rPr>
          <w:color w:val="000000" w:themeColor="text1"/>
        </w:rPr>
        <w:t xml:space="preserve"> they </w:t>
      </w:r>
      <w:r w:rsidR="0025099A" w:rsidRPr="009B054F">
        <w:rPr>
          <w:color w:val="000000" w:themeColor="text1"/>
        </w:rPr>
        <w:t xml:space="preserve">have </w:t>
      </w:r>
      <w:r w:rsidR="009B054F">
        <w:rPr>
          <w:color w:val="000000" w:themeColor="text1"/>
        </w:rPr>
        <w:t xml:space="preserve">significantly </w:t>
      </w:r>
      <w:r w:rsidR="002D333B" w:rsidRPr="009B054F">
        <w:rPr>
          <w:color w:val="000000" w:themeColor="text1"/>
        </w:rPr>
        <w:t>underestimate</w:t>
      </w:r>
      <w:r w:rsidR="0025099A" w:rsidRPr="009B054F">
        <w:rPr>
          <w:color w:val="000000" w:themeColor="text1"/>
        </w:rPr>
        <w:t>d</w:t>
      </w:r>
      <w:r w:rsidR="009A305B" w:rsidRPr="009B054F">
        <w:rPr>
          <w:color w:val="000000" w:themeColor="text1"/>
        </w:rPr>
        <w:t xml:space="preserve"> attrition for </w:t>
      </w:r>
      <w:r w:rsidR="009B054F" w:rsidRPr="009B054F">
        <w:rPr>
          <w:color w:val="000000" w:themeColor="text1"/>
        </w:rPr>
        <w:t>VI professionals</w:t>
      </w:r>
      <w:r w:rsidR="009B054F">
        <w:rPr>
          <w:color w:val="000000" w:themeColor="text1"/>
        </w:rPr>
        <w:t xml:space="preserve"> over the past two years</w:t>
      </w:r>
      <w:r w:rsidR="00A32652" w:rsidRPr="009B054F">
        <w:rPr>
          <w:color w:val="000000" w:themeColor="text1"/>
        </w:rPr>
        <w:t>.</w:t>
      </w:r>
      <w:r w:rsidR="00573C61" w:rsidRPr="009B054F">
        <w:rPr>
          <w:color w:val="000000" w:themeColor="text1"/>
        </w:rPr>
        <w:t xml:space="preserve"> </w:t>
      </w:r>
      <w:r w:rsidR="009A305B" w:rsidRPr="009B054F">
        <w:rPr>
          <w:color w:val="000000" w:themeColor="text1"/>
        </w:rPr>
        <w:t>Therefore</w:t>
      </w:r>
      <w:r w:rsidR="002D333B" w:rsidRPr="009B054F">
        <w:rPr>
          <w:color w:val="000000" w:themeColor="text1"/>
        </w:rPr>
        <w:t>,</w:t>
      </w:r>
      <w:r w:rsidR="009A305B" w:rsidRPr="009B054F">
        <w:rPr>
          <w:color w:val="000000" w:themeColor="text1"/>
        </w:rPr>
        <w:t xml:space="preserve"> it is likely that as </w:t>
      </w:r>
      <w:r w:rsidR="00682FF1" w:rsidRPr="009B054F">
        <w:rPr>
          <w:color w:val="000000" w:themeColor="text1"/>
        </w:rPr>
        <w:t xml:space="preserve">retirements </w:t>
      </w:r>
      <w:r w:rsidR="009A305B" w:rsidRPr="009B054F">
        <w:rPr>
          <w:color w:val="000000" w:themeColor="text1"/>
        </w:rPr>
        <w:t>are realized</w:t>
      </w:r>
      <w:r w:rsidR="00FF3A6D" w:rsidRPr="009B054F">
        <w:rPr>
          <w:color w:val="000000" w:themeColor="text1"/>
        </w:rPr>
        <w:t>,</w:t>
      </w:r>
      <w:r w:rsidR="009A305B" w:rsidRPr="009B054F">
        <w:rPr>
          <w:color w:val="000000" w:themeColor="text1"/>
        </w:rPr>
        <w:t xml:space="preserve"> attrition over the next </w:t>
      </w:r>
      <w:r w:rsidR="002D333B" w:rsidRPr="009B054F">
        <w:rPr>
          <w:color w:val="000000" w:themeColor="text1"/>
        </w:rPr>
        <w:t xml:space="preserve">3 </w:t>
      </w:r>
      <w:r w:rsidR="00A32652" w:rsidRPr="009B054F">
        <w:rPr>
          <w:color w:val="000000" w:themeColor="text1"/>
        </w:rPr>
        <w:t>years w</w:t>
      </w:r>
      <w:r w:rsidR="0025099A" w:rsidRPr="009B054F">
        <w:rPr>
          <w:color w:val="000000" w:themeColor="text1"/>
        </w:rPr>
        <w:t>ill continue to be a pertinent</w:t>
      </w:r>
      <w:r w:rsidR="00A32652" w:rsidRPr="009B054F">
        <w:rPr>
          <w:color w:val="000000" w:themeColor="text1"/>
        </w:rPr>
        <w:t xml:space="preserve"> factor in</w:t>
      </w:r>
      <w:r w:rsidR="00BB7E37" w:rsidRPr="009B054F">
        <w:rPr>
          <w:color w:val="000000" w:themeColor="text1"/>
        </w:rPr>
        <w:t xml:space="preserve"> planning for an adequate number</w:t>
      </w:r>
      <w:r w:rsidR="00A32652" w:rsidRPr="009B054F">
        <w:rPr>
          <w:color w:val="000000" w:themeColor="text1"/>
        </w:rPr>
        <w:t xml:space="preserve"> of VI professionals</w:t>
      </w:r>
      <w:r w:rsidR="000D2275" w:rsidRPr="009B054F">
        <w:rPr>
          <w:color w:val="FF0000"/>
        </w:rPr>
        <w:t>.</w:t>
      </w:r>
      <w:r w:rsidR="0052038E" w:rsidRPr="009B054F">
        <w:rPr>
          <w:rFonts w:cs="Calibri"/>
        </w:rPr>
        <w:t xml:space="preserve"> </w:t>
      </w:r>
    </w:p>
    <w:p w14:paraId="2CB4BB0D" w14:textId="475FDE37" w:rsidR="005D69D2" w:rsidRPr="00CD7B38" w:rsidRDefault="00C63CD1" w:rsidP="0031619B">
      <w:pPr>
        <w:rPr>
          <w:b/>
        </w:rPr>
      </w:pPr>
      <w:r w:rsidRPr="009B054F">
        <w:t>A l</w:t>
      </w:r>
      <w:r w:rsidR="00A77784" w:rsidRPr="009B054F">
        <w:t xml:space="preserve">ong-term examination of growth patterns </w:t>
      </w:r>
      <w:r w:rsidR="00991C83" w:rsidRPr="009B054F">
        <w:t>predicts</w:t>
      </w:r>
      <w:r w:rsidR="00A77784" w:rsidRPr="009B054F">
        <w:t xml:space="preserve"> that </w:t>
      </w:r>
      <w:r w:rsidR="0043266F" w:rsidRPr="009B054F">
        <w:t xml:space="preserve">the number of </w:t>
      </w:r>
      <w:r w:rsidR="00A77784" w:rsidRPr="009B054F">
        <w:t>studen</w:t>
      </w:r>
      <w:r w:rsidR="00A32652" w:rsidRPr="009B054F">
        <w:t xml:space="preserve">ts with visual impairments </w:t>
      </w:r>
      <w:r w:rsidR="0043266F" w:rsidRPr="009B054F">
        <w:t xml:space="preserve">needing services </w:t>
      </w:r>
      <w:r w:rsidR="00A32652" w:rsidRPr="009B054F">
        <w:t xml:space="preserve">will </w:t>
      </w:r>
      <w:r w:rsidR="00A77784" w:rsidRPr="009B054F">
        <w:t xml:space="preserve">increase by </w:t>
      </w:r>
      <w:r w:rsidR="00317AC7" w:rsidRPr="009B054F">
        <w:t xml:space="preserve">at </w:t>
      </w:r>
      <w:r w:rsidR="00317AC7" w:rsidRPr="00CD7B38">
        <w:t xml:space="preserve">least </w:t>
      </w:r>
      <w:r w:rsidR="005533A3" w:rsidRPr="00CD7B38">
        <w:t>2.</w:t>
      </w:r>
      <w:r w:rsidR="009B054F" w:rsidRPr="00CD7B38">
        <w:t>7</w:t>
      </w:r>
      <w:r w:rsidR="00A77784" w:rsidRPr="00CD7B38">
        <w:t>% each year</w:t>
      </w:r>
      <w:r w:rsidR="002D333B" w:rsidRPr="00CD7B38">
        <w:t>,</w:t>
      </w:r>
      <w:r w:rsidR="00A77784" w:rsidRPr="00CD7B38">
        <w:t xml:space="preserve"> or by </w:t>
      </w:r>
      <w:r w:rsidR="009B054F" w:rsidRPr="00CD7B38">
        <w:t>912</w:t>
      </w:r>
      <w:r w:rsidR="00EB017C" w:rsidRPr="00CD7B38">
        <w:t xml:space="preserve"> additional</w:t>
      </w:r>
      <w:r w:rsidR="0092770E" w:rsidRPr="00CD7B38">
        <w:t xml:space="preserve"> students over the next three years</w:t>
      </w:r>
      <w:r w:rsidR="00CE7CE9" w:rsidRPr="00CD7B38">
        <w:t>.</w:t>
      </w:r>
      <w:r w:rsidR="00573C61" w:rsidRPr="00CD7B38">
        <w:t xml:space="preserve"> </w:t>
      </w:r>
      <w:r w:rsidR="00EB017C" w:rsidRPr="00CD7B38">
        <w:t>It is expec</w:t>
      </w:r>
      <w:r w:rsidR="00D03CA1" w:rsidRPr="00CD7B38">
        <w:t xml:space="preserve">ted that Texas will have </w:t>
      </w:r>
      <w:r w:rsidR="00F95E9C" w:rsidRPr="00CD7B38">
        <w:t xml:space="preserve">at least </w:t>
      </w:r>
      <w:r w:rsidR="00CD7B38" w:rsidRPr="00CD7B38">
        <w:rPr>
          <w:rFonts w:cs="Calibri"/>
        </w:rPr>
        <w:t>12,037</w:t>
      </w:r>
      <w:r w:rsidR="00EB017C" w:rsidRPr="00CD7B38">
        <w:t xml:space="preserve"> s</w:t>
      </w:r>
      <w:r w:rsidR="00E949DD" w:rsidRPr="00CD7B38">
        <w:t xml:space="preserve">tudents with visual impairments </w:t>
      </w:r>
      <w:r w:rsidR="00EB017C" w:rsidRPr="00CD7B38">
        <w:t xml:space="preserve">by </w:t>
      </w:r>
      <w:r w:rsidR="00CD7B38" w:rsidRPr="00CD7B38">
        <w:t>2023</w:t>
      </w:r>
      <w:r w:rsidR="00EB017C" w:rsidRPr="00CD7B38">
        <w:t>.</w:t>
      </w:r>
      <w:r w:rsidR="006353BD" w:rsidRPr="00CD7B38">
        <w:t xml:space="preserve"> </w:t>
      </w:r>
      <w:r w:rsidR="002E04BE" w:rsidRPr="00CD7B38">
        <w:t xml:space="preserve">Therefore, Texas could see a need for </w:t>
      </w:r>
      <w:r w:rsidR="00CD7B38" w:rsidRPr="00CD7B38">
        <w:t>71</w:t>
      </w:r>
      <w:r w:rsidR="0031619B" w:rsidRPr="00CD7B38">
        <w:t xml:space="preserve"> additional full-</w:t>
      </w:r>
      <w:r w:rsidR="00222BCE" w:rsidRPr="00CD7B38">
        <w:t>time equivalent TVIs and 57</w:t>
      </w:r>
      <w:r w:rsidR="0031619B" w:rsidRPr="00CD7B38">
        <w:t xml:space="preserve"> f</w:t>
      </w:r>
      <w:r w:rsidR="00CD7B38" w:rsidRPr="00CD7B38">
        <w:t>ull-time equivalent COMS by 2023</w:t>
      </w:r>
      <w:r w:rsidR="0031619B" w:rsidRPr="00CD7B38">
        <w:t xml:space="preserve"> to </w:t>
      </w:r>
      <w:r w:rsidR="0031619B" w:rsidRPr="00CD7B38">
        <w:rPr>
          <w:b/>
        </w:rPr>
        <w:t>accommodate student growth alone.</w:t>
      </w:r>
    </w:p>
    <w:p w14:paraId="60E77606" w14:textId="0440C8B9" w:rsidR="00CD7B38" w:rsidRPr="00CD7B38" w:rsidRDefault="00FB3FE2" w:rsidP="007B7B36">
      <w:r w:rsidRPr="00CD7B38">
        <w:t>Considering the</w:t>
      </w:r>
      <w:r w:rsidR="00C7238A" w:rsidRPr="00CD7B38">
        <w:t xml:space="preserve"> average</w:t>
      </w:r>
      <w:r w:rsidRPr="00CD7B38">
        <w:t xml:space="preserve"> projected</w:t>
      </w:r>
      <w:r w:rsidR="007B7B36" w:rsidRPr="00CD7B38">
        <w:t xml:space="preserve"> </w:t>
      </w:r>
      <w:r w:rsidR="00672B40" w:rsidRPr="00CD7B38">
        <w:t>increase</w:t>
      </w:r>
      <w:r w:rsidR="007B7B36" w:rsidRPr="00CD7B38">
        <w:t xml:space="preserve"> </w:t>
      </w:r>
      <w:r w:rsidR="00CE6A36" w:rsidRPr="00CD7B38">
        <w:t xml:space="preserve">in the </w:t>
      </w:r>
      <w:r w:rsidR="00672B40" w:rsidRPr="00CD7B38">
        <w:t xml:space="preserve">statewide student population each year </w:t>
      </w:r>
      <w:r w:rsidR="00CE6A36" w:rsidRPr="00CD7B38">
        <w:t>in addition to</w:t>
      </w:r>
      <w:r w:rsidR="00C7238A" w:rsidRPr="00CD7B38">
        <w:t xml:space="preserve"> anticipated </w:t>
      </w:r>
      <w:r w:rsidR="000E158D" w:rsidRPr="00CD7B38">
        <w:t>attri</w:t>
      </w:r>
      <w:r w:rsidR="00C7238A" w:rsidRPr="00CD7B38">
        <w:t>tion</w:t>
      </w:r>
      <w:r w:rsidR="00DC19CB" w:rsidRPr="00CD7B38">
        <w:t xml:space="preserve">, </w:t>
      </w:r>
      <w:r w:rsidR="00C7238A" w:rsidRPr="00CD7B38">
        <w:t>Texas could see a need for</w:t>
      </w:r>
      <w:r w:rsidR="003656F0" w:rsidRPr="00CD7B38">
        <w:t xml:space="preserve"> </w:t>
      </w:r>
      <w:r w:rsidR="00CD7B38" w:rsidRPr="00CD7B38">
        <w:rPr>
          <w:b/>
        </w:rPr>
        <w:t>157</w:t>
      </w:r>
      <w:r w:rsidR="00C7238A" w:rsidRPr="00CD7B38">
        <w:rPr>
          <w:b/>
        </w:rPr>
        <w:t>-</w:t>
      </w:r>
      <w:r w:rsidR="00672B40" w:rsidRPr="00CD7B38">
        <w:rPr>
          <w:b/>
        </w:rPr>
        <w:t>1</w:t>
      </w:r>
      <w:r w:rsidR="00CD7B38" w:rsidRPr="00CD7B38">
        <w:rPr>
          <w:b/>
        </w:rPr>
        <w:t>71</w:t>
      </w:r>
      <w:r w:rsidR="007B7B36" w:rsidRPr="00CD7B38">
        <w:t xml:space="preserve"> additional</w:t>
      </w:r>
      <w:r w:rsidR="00CE6A36" w:rsidRPr="00CD7B38">
        <w:t xml:space="preserve"> full-time equivalent </w:t>
      </w:r>
      <w:r w:rsidRPr="00CD7B38">
        <w:t>TVIs and</w:t>
      </w:r>
      <w:r w:rsidR="00672B40" w:rsidRPr="00CD7B38">
        <w:t xml:space="preserve"> </w:t>
      </w:r>
      <w:r w:rsidR="00CD7B38" w:rsidRPr="00CD7B38">
        <w:rPr>
          <w:b/>
        </w:rPr>
        <w:t>88</w:t>
      </w:r>
      <w:r w:rsidR="00C7238A" w:rsidRPr="00CD7B38">
        <w:rPr>
          <w:b/>
        </w:rPr>
        <w:t>-</w:t>
      </w:r>
      <w:r w:rsidR="00CD7B38" w:rsidRPr="00CD7B38">
        <w:rPr>
          <w:b/>
        </w:rPr>
        <w:t>102</w:t>
      </w:r>
      <w:r w:rsidR="007B7B36" w:rsidRPr="00CD7B38">
        <w:t xml:space="preserve"> </w:t>
      </w:r>
      <w:r w:rsidR="00CE6A36" w:rsidRPr="00CD7B38">
        <w:t xml:space="preserve">full-time equivalent </w:t>
      </w:r>
      <w:r w:rsidR="00C7238A" w:rsidRPr="00CD7B38">
        <w:t xml:space="preserve">COMS </w:t>
      </w:r>
      <w:r w:rsidR="00CD7B38" w:rsidRPr="00CD7B38">
        <w:t>by 2023</w:t>
      </w:r>
      <w:r w:rsidR="007B7B36" w:rsidRPr="00CD7B38">
        <w:t>.</w:t>
      </w:r>
      <w:r w:rsidR="002E04BE" w:rsidRPr="00CD7B38">
        <w:t xml:space="preserve"> </w:t>
      </w:r>
      <w:r w:rsidR="00CD7B38">
        <w:t xml:space="preserve">Although falling </w:t>
      </w:r>
      <w:r w:rsidR="009F7422">
        <w:t>into the lower end of the range</w:t>
      </w:r>
      <w:r w:rsidR="00CD7B38">
        <w:t>, t</w:t>
      </w:r>
      <w:r w:rsidR="00DC19CB" w:rsidRPr="00CD7B38">
        <w:t>he long</w:t>
      </w:r>
      <w:r w:rsidR="009F7422">
        <w:t>er</w:t>
      </w:r>
      <w:r w:rsidR="00DC19CB" w:rsidRPr="00CD7B38">
        <w:t>-term need estimated by the ESC</w:t>
      </w:r>
      <w:r w:rsidR="003656F0" w:rsidRPr="00CD7B38">
        <w:t xml:space="preserve">s closely parallels </w:t>
      </w:r>
      <w:r w:rsidR="00CD7B38">
        <w:t>these</w:t>
      </w:r>
      <w:r w:rsidR="003656F0" w:rsidRPr="00CD7B38">
        <w:t xml:space="preserve"> projection</w:t>
      </w:r>
      <w:r w:rsidR="00CD7B38">
        <w:t>s for both TVIs and COMS.</w:t>
      </w:r>
    </w:p>
    <w:p w14:paraId="243F610D" w14:textId="3D87D4EF" w:rsidR="009F7422" w:rsidRDefault="00817750" w:rsidP="00CD7B38">
      <w:pPr>
        <w:spacing w:before="240" w:line="288" w:lineRule="auto"/>
      </w:pPr>
      <w:r w:rsidRPr="00817750">
        <w:t>Clearly, based on student growth and projected</w:t>
      </w:r>
      <w:r w:rsidR="002B7409">
        <w:t xml:space="preserve"> attrition, Texas has a growing </w:t>
      </w:r>
      <w:r w:rsidR="00495B21">
        <w:t>need for VI professionals. U</w:t>
      </w:r>
      <w:r w:rsidR="002F734A">
        <w:t xml:space="preserve">niversity certification programs are working diligently to meet that need. </w:t>
      </w:r>
      <w:r>
        <w:t>T</w:t>
      </w:r>
      <w:r w:rsidR="009F7422" w:rsidRPr="009F7422">
        <w:t>he statewide total number of students entering VI and O&amp;M certification programs at Stephen F. Austin State University and Texas Tech University increased this year</w:t>
      </w:r>
      <w:r w:rsidR="00C24CBC">
        <w:t xml:space="preserve"> </w:t>
      </w:r>
      <w:r w:rsidR="00495B21">
        <w:t>by 18 percent. T</w:t>
      </w:r>
      <w:r w:rsidR="0024654D">
        <w:t xml:space="preserve">he majority of students </w:t>
      </w:r>
      <w:r w:rsidR="00495B21">
        <w:t xml:space="preserve">are </w:t>
      </w:r>
      <w:r w:rsidR="0024654D">
        <w:t>receiving financial support. This increase is good news; however, t</w:t>
      </w:r>
      <w:r w:rsidR="0024654D" w:rsidRPr="0024654D">
        <w:t>he t</w:t>
      </w:r>
      <w:r>
        <w:t xml:space="preserve">otal number of those completing </w:t>
      </w:r>
      <w:r w:rsidR="0024654D">
        <w:t>VI and O&amp;M programs dropped</w:t>
      </w:r>
      <w:r w:rsidR="0024654D" w:rsidRPr="0024654D">
        <w:t xml:space="preserve"> by </w:t>
      </w:r>
      <w:r w:rsidR="00CB118E">
        <w:t>30% in 2019 and that total dropped by an additional 14% this year</w:t>
      </w:r>
      <w:r w:rsidR="0024654D">
        <w:t>. T</w:t>
      </w:r>
      <w:r w:rsidR="00CB118E">
        <w:t>he</w:t>
      </w:r>
      <w:r w:rsidR="0024654D">
        <w:t xml:space="preserve"> decline</w:t>
      </w:r>
      <w:r w:rsidR="00726056">
        <w:t xml:space="preserve"> in those completing their programs</w:t>
      </w:r>
      <w:r w:rsidR="0024654D">
        <w:t xml:space="preserve"> </w:t>
      </w:r>
      <w:r w:rsidR="00CB118E">
        <w:t xml:space="preserve">in 2020 </w:t>
      </w:r>
      <w:r w:rsidR="00726056">
        <w:t xml:space="preserve">can certainly be </w:t>
      </w:r>
      <w:r w:rsidR="0070664D">
        <w:t xml:space="preserve">related to </w:t>
      </w:r>
      <w:r w:rsidR="0024654D" w:rsidRPr="0024654D">
        <w:t xml:space="preserve">challenges brought on by the COVID-19 pandemic. </w:t>
      </w:r>
      <w:r w:rsidR="00726056">
        <w:t xml:space="preserve">Consequently, these unforeseen challenges and overall drop in the number of students completing their university programs over the last two years </w:t>
      </w:r>
      <w:r w:rsidR="00495B21">
        <w:t xml:space="preserve">are indications of a likely significant </w:t>
      </w:r>
      <w:r w:rsidR="00495B21" w:rsidRPr="0024654D">
        <w:t>shortage</w:t>
      </w:r>
      <w:r w:rsidR="00495B21">
        <w:t xml:space="preserve"> </w:t>
      </w:r>
      <w:r w:rsidR="0024654D" w:rsidRPr="0024654D">
        <w:t xml:space="preserve">of new VI professionals </w:t>
      </w:r>
      <w:r w:rsidR="0024654D">
        <w:t xml:space="preserve">available </w:t>
      </w:r>
      <w:r w:rsidR="0024654D" w:rsidRPr="0024654D">
        <w:t>to serve the growing number of children with visu</w:t>
      </w:r>
      <w:r w:rsidR="0024654D">
        <w:t>al impairments across the state</w:t>
      </w:r>
      <w:r>
        <w:t xml:space="preserve">. </w:t>
      </w:r>
      <w:r w:rsidR="0070664D">
        <w:t xml:space="preserve"> </w:t>
      </w:r>
      <w:bookmarkStart w:id="127" w:name="_Toc284342507"/>
      <w:bookmarkStart w:id="128" w:name="_Toc347126960"/>
      <w:bookmarkStart w:id="129" w:name="_Toc347127192"/>
      <w:bookmarkStart w:id="130" w:name="_Toc408835465"/>
    </w:p>
    <w:p w14:paraId="59CABF94" w14:textId="0373AEBB" w:rsidR="001D59D3" w:rsidRDefault="001D59D3" w:rsidP="00CD7B38">
      <w:pPr>
        <w:spacing w:before="240" w:line="288" w:lineRule="auto"/>
      </w:pPr>
    </w:p>
    <w:p w14:paraId="0802E8D2" w14:textId="45DCDD2A" w:rsidR="001D59D3" w:rsidRDefault="001D59D3" w:rsidP="00CD7B38">
      <w:pPr>
        <w:spacing w:before="240" w:line="288" w:lineRule="auto"/>
      </w:pPr>
    </w:p>
    <w:p w14:paraId="451D5C90" w14:textId="7FCE5B5E" w:rsidR="002B7409" w:rsidRDefault="002B7409" w:rsidP="00CD7B38">
      <w:pPr>
        <w:spacing w:before="240" w:line="288" w:lineRule="auto"/>
      </w:pPr>
    </w:p>
    <w:p w14:paraId="0D5DBFD6" w14:textId="6CE44E2B" w:rsidR="001D59D3" w:rsidRPr="00AB5D78" w:rsidRDefault="001D59D3" w:rsidP="00CD7B38">
      <w:pPr>
        <w:spacing w:before="240" w:line="288" w:lineRule="auto"/>
      </w:pPr>
    </w:p>
    <w:p w14:paraId="071236AA" w14:textId="77777777" w:rsidR="00AD0C19" w:rsidRPr="004237B8" w:rsidRDefault="00AD0C19" w:rsidP="00AD0C19">
      <w:pPr>
        <w:pStyle w:val="Title"/>
      </w:pPr>
      <w:bookmarkStart w:id="131" w:name="_Toc61607320"/>
      <w:bookmarkEnd w:id="127"/>
      <w:bookmarkEnd w:id="128"/>
      <w:bookmarkEnd w:id="129"/>
      <w:bookmarkEnd w:id="130"/>
      <w:r w:rsidRPr="004237B8">
        <w:t>Appendix</w:t>
      </w:r>
      <w:bookmarkEnd w:id="131"/>
    </w:p>
    <w:p w14:paraId="60C7CA2F" w14:textId="77777777" w:rsidR="00AD0C19" w:rsidRPr="004237B8" w:rsidRDefault="00AD0C19" w:rsidP="00AD0C19">
      <w:pPr>
        <w:pStyle w:val="Heading2"/>
      </w:pPr>
      <w:bookmarkStart w:id="132" w:name="_Toc284342508"/>
      <w:bookmarkStart w:id="133" w:name="_Toc347126961"/>
      <w:bookmarkStart w:id="134" w:name="_Toc347127193"/>
      <w:bookmarkStart w:id="135" w:name="_Toc408835466"/>
      <w:bookmarkStart w:id="136" w:name="_Toc61607321"/>
      <w:r w:rsidRPr="004237B8">
        <w:t>Methodology</w:t>
      </w:r>
      <w:bookmarkEnd w:id="132"/>
      <w:bookmarkEnd w:id="133"/>
      <w:bookmarkEnd w:id="134"/>
      <w:bookmarkEnd w:id="135"/>
      <w:bookmarkEnd w:id="136"/>
    </w:p>
    <w:p w14:paraId="6BA45047" w14:textId="6D595AC0" w:rsidR="00AD0C19" w:rsidRDefault="00AD0C19" w:rsidP="00AD0C19">
      <w:pPr>
        <w:pStyle w:val="Header"/>
        <w:tabs>
          <w:tab w:val="clear" w:pos="4320"/>
          <w:tab w:val="clear" w:pos="8640"/>
        </w:tabs>
        <w:spacing w:line="288" w:lineRule="auto"/>
      </w:pPr>
      <w:r w:rsidRPr="004237B8">
        <w:t xml:space="preserve">The ESC consultant and TSBVI survey asked about the number of people </w:t>
      </w:r>
      <w:r w:rsidRPr="004237B8">
        <w:rPr>
          <w:i/>
          <w:iCs/>
        </w:rPr>
        <w:t>functioning</w:t>
      </w:r>
      <w:r w:rsidRPr="004237B8">
        <w:t xml:space="preserve"> as VI professionals. These individuals may be TVIs, O&amp;M specialists, or both. Those </w:t>
      </w:r>
      <w:r w:rsidRPr="004237B8">
        <w:rPr>
          <w:i/>
          <w:iCs/>
        </w:rPr>
        <w:t>functioning</w:t>
      </w:r>
      <w:r w:rsidRPr="004237B8">
        <w:t xml:space="preserve"> in both roles are referred to as being dually certified. The VI professionals provide instruction to students in a direct or consultative capacity and/or provide leadership or technical assistance from regional education service centers (ESCs) or Texas School for the Blind and Visually Impaired (TSBVI). Those who provide leadership or technical assistance may have full- or part-time positions. </w:t>
      </w:r>
    </w:p>
    <w:p w14:paraId="17FB7482" w14:textId="70553BAD" w:rsidR="0009073B" w:rsidRPr="004237B8" w:rsidRDefault="0009073B" w:rsidP="00AD0C19">
      <w:pPr>
        <w:pStyle w:val="Header"/>
        <w:tabs>
          <w:tab w:val="clear" w:pos="4320"/>
          <w:tab w:val="clear" w:pos="8640"/>
        </w:tabs>
        <w:spacing w:line="288" w:lineRule="auto"/>
      </w:pPr>
      <w:r w:rsidRPr="00947DFB">
        <w:t xml:space="preserve">TSBVI serves as a statewide resource, with a concentration of students and VI professionals. As a result, TSBVI data were collected separately from that of the ESCs. Unless otherwise noted, TSBVI data are included in the data presented in this report. Data from TSBVI include information about TSBVI professionals who provide direct services via the Comprehensive Program and who provide statewide training, short-term services, and leadership via the Short-Term Programs and Outreach Programs. </w:t>
      </w:r>
    </w:p>
    <w:p w14:paraId="10EE5449" w14:textId="09060F23" w:rsidR="004237B8" w:rsidRPr="004237B8" w:rsidRDefault="004237B8" w:rsidP="002B7409">
      <w:r w:rsidRPr="004237B8">
        <w:t xml:space="preserve">This survey captures information about the number of </w:t>
      </w:r>
      <w:r w:rsidRPr="004237B8">
        <w:rPr>
          <w:u w:val="single"/>
        </w:rPr>
        <w:t>individuals</w:t>
      </w:r>
      <w:r w:rsidRPr="004237B8">
        <w:t xml:space="preserve"> working with students with visual impairments in the state of Texas in either a full- or part-time capacity. </w:t>
      </w:r>
      <w:r w:rsidRPr="004237B8">
        <w:rPr>
          <w:u w:val="single"/>
        </w:rPr>
        <w:t>It does not gather information on the number of districts that employ full- and/or part-time VI professionals</w:t>
      </w:r>
      <w:r w:rsidRPr="004237B8">
        <w:t xml:space="preserve">. Individuals who work part-time but in multiple districts are considered “full-time VI professionals.” The reference to “full-time” or “part-time” refers to the total employment of the VI professional, not to how long a specific district employs a VI professional. </w:t>
      </w:r>
    </w:p>
    <w:p w14:paraId="766F8C64" w14:textId="104C46BD" w:rsidR="004237B8" w:rsidRPr="00E458BF" w:rsidRDefault="004237B8" w:rsidP="004237B8">
      <w:pPr>
        <w:spacing w:line="288" w:lineRule="auto"/>
        <w:rPr>
          <w:color w:val="000000" w:themeColor="text1"/>
        </w:rPr>
      </w:pPr>
      <w:r w:rsidRPr="004237B8">
        <w:t xml:space="preserve">Texas employs both full- and part-time VI professionals. Full-time professionals are those who work at least .6 FTE or more. Part-time professionals are those who work .5 FTE or less. This method has </w:t>
      </w:r>
      <w:r w:rsidRPr="00E458BF">
        <w:t xml:space="preserve">been used by TEA and is considered to be an adequate estimate of the number of full-time equivalent VI professionals. Part-time VI professionals are a significant proportion of the Texas </w:t>
      </w:r>
      <w:r w:rsidRPr="00E458BF">
        <w:rPr>
          <w:color w:val="000000" w:themeColor="text1"/>
        </w:rPr>
        <w:t xml:space="preserve">VI workforce </w:t>
      </w:r>
      <w:r w:rsidR="00E458BF" w:rsidRPr="00E458BF">
        <w:rPr>
          <w:color w:val="000000" w:themeColor="text1"/>
        </w:rPr>
        <w:t>(24% of the TVIs and 41</w:t>
      </w:r>
      <w:r w:rsidRPr="00E458BF">
        <w:rPr>
          <w:color w:val="000000" w:themeColor="text1"/>
        </w:rPr>
        <w:t xml:space="preserve">% of the O&amp;M specialists). </w:t>
      </w:r>
    </w:p>
    <w:p w14:paraId="7522B101" w14:textId="77777777" w:rsidR="00AD0C19" w:rsidRPr="004237B8" w:rsidRDefault="00AD0C19" w:rsidP="00AD0C19">
      <w:pPr>
        <w:spacing w:line="288" w:lineRule="auto"/>
      </w:pPr>
      <w:r w:rsidRPr="00E458BF">
        <w:t>When relevant, information about full-time equivalent (FTE) positions is also</w:t>
      </w:r>
      <w:r w:rsidRPr="004237B8">
        <w:t xml:space="preserve"> presented. The number of FTE staff was determined by multiplying the number of people employed in part-time positions by .5 and adding the result to the number of people employed as full-time VI professionals (part-time X .5 + full-time = FTE). </w:t>
      </w:r>
    </w:p>
    <w:p w14:paraId="4EED7763" w14:textId="77777777" w:rsidR="00AD0C19" w:rsidRPr="004237B8" w:rsidRDefault="00AD0C19" w:rsidP="00AD0C19">
      <w:pPr>
        <w:spacing w:line="288" w:lineRule="auto"/>
      </w:pPr>
      <w:r w:rsidRPr="004237B8">
        <w:t>The descriptive and need data reflect statewide totals of a combination of TVIs and O&amp;M professionals. Data on each profession are also included separately. When appropriate, data on dually certified VI professionals are also presented.</w:t>
      </w:r>
    </w:p>
    <w:p w14:paraId="0709ECE8" w14:textId="691CAB3A" w:rsidR="00AD0C19" w:rsidRPr="002404D0" w:rsidRDefault="0009073B" w:rsidP="00AD0C19">
      <w:pPr>
        <w:spacing w:line="288" w:lineRule="auto"/>
      </w:pPr>
      <w:r w:rsidRPr="002404D0">
        <w:t xml:space="preserve">For the purposes of this survey, professionals </w:t>
      </w:r>
      <w:r w:rsidR="00AD0C19" w:rsidRPr="002404D0">
        <w:t xml:space="preserve">who provide both O&amp;M and VI services (dually certified) are counted as part-time TVI and part-time O&amp;M. Although they may be full-time employees of a district or cooperative, dually certified professionals are considered part-time TVIs and part-time O&amp;M specialists. As a result, dually certified individuals appear on both the TVI and O&amp;M tables as part-time professionals. This results in a variance between the data listed in the Statewide Totals table (Table 1) and the combined totals of the Direct-Service Provider tables (Tables 2 and 3). Simply adding </w:t>
      </w:r>
      <w:proofErr w:type="gramStart"/>
      <w:r w:rsidRPr="002404D0">
        <w:t>together</w:t>
      </w:r>
      <w:proofErr w:type="gramEnd"/>
      <w:r w:rsidR="00AD0C19" w:rsidRPr="002404D0">
        <w:t xml:space="preserve"> the discipline-specific totals would result in double-counting some individuals. Statewide totals are adjusted for dually certified professionals.</w:t>
      </w:r>
    </w:p>
    <w:p w14:paraId="77EAD628" w14:textId="77777777" w:rsidR="00CD0851" w:rsidRPr="00E01313" w:rsidRDefault="00CD0851">
      <w:pPr>
        <w:spacing w:line="288" w:lineRule="auto"/>
      </w:pPr>
    </w:p>
    <w:p w14:paraId="3AB61994" w14:textId="27860868" w:rsidR="00FB5EC4" w:rsidRPr="00E01313" w:rsidRDefault="003E00D3" w:rsidP="00871D63">
      <w:pPr>
        <w:pStyle w:val="Title"/>
        <w:rPr>
          <w:lang w:val="en-US"/>
        </w:rPr>
      </w:pPr>
      <w:bookmarkStart w:id="137" w:name="_Toc347126962"/>
      <w:bookmarkStart w:id="138" w:name="_Toc347127194"/>
      <w:r w:rsidRPr="00E01313">
        <w:br w:type="page"/>
      </w:r>
      <w:bookmarkStart w:id="139" w:name="_Toc408835467"/>
      <w:bookmarkStart w:id="140" w:name="_Toc61607322"/>
      <w:r w:rsidR="00871D63" w:rsidRPr="00E01313">
        <w:t>References</w:t>
      </w:r>
      <w:bookmarkEnd w:id="137"/>
      <w:bookmarkEnd w:id="138"/>
      <w:bookmarkEnd w:id="139"/>
      <w:bookmarkEnd w:id="140"/>
      <w:r w:rsidR="00C319E9" w:rsidRPr="00E01313">
        <w:rPr>
          <w:lang w:val="en-US"/>
        </w:rPr>
        <w:t xml:space="preserve">  </w:t>
      </w:r>
    </w:p>
    <w:p w14:paraId="5B58EC57" w14:textId="3958E031" w:rsidR="00832909" w:rsidRDefault="00832909" w:rsidP="00832909">
      <w:pPr>
        <w:rPr>
          <w:szCs w:val="24"/>
        </w:rPr>
      </w:pPr>
      <w:r w:rsidRPr="00386A6A">
        <w:rPr>
          <w:szCs w:val="24"/>
        </w:rPr>
        <w:t>Correa-Torres, M.</w:t>
      </w:r>
      <w:r w:rsidR="00107601" w:rsidRPr="00386A6A">
        <w:rPr>
          <w:szCs w:val="24"/>
        </w:rPr>
        <w:t>,</w:t>
      </w:r>
      <w:r w:rsidRPr="00386A6A">
        <w:rPr>
          <w:szCs w:val="24"/>
        </w:rPr>
        <w:t xml:space="preserve"> </w:t>
      </w:r>
      <w:r w:rsidR="00107601" w:rsidRPr="00386A6A">
        <w:rPr>
          <w:szCs w:val="24"/>
        </w:rPr>
        <w:t xml:space="preserve">&amp; </w:t>
      </w:r>
      <w:r w:rsidRPr="00386A6A">
        <w:rPr>
          <w:szCs w:val="24"/>
        </w:rPr>
        <w:t>Johnson Howell, J</w:t>
      </w:r>
      <w:r w:rsidR="00107601" w:rsidRPr="00386A6A">
        <w:rPr>
          <w:szCs w:val="24"/>
        </w:rPr>
        <w:t>.</w:t>
      </w:r>
      <w:r w:rsidRPr="00386A6A">
        <w:rPr>
          <w:szCs w:val="24"/>
        </w:rPr>
        <w:t xml:space="preserve"> </w:t>
      </w:r>
      <w:r w:rsidR="00107601" w:rsidRPr="00386A6A">
        <w:rPr>
          <w:szCs w:val="24"/>
        </w:rPr>
        <w:t>(</w:t>
      </w:r>
      <w:r w:rsidRPr="00386A6A">
        <w:rPr>
          <w:szCs w:val="24"/>
        </w:rPr>
        <w:t>2004</w:t>
      </w:r>
      <w:r w:rsidR="00107601" w:rsidRPr="00386A6A">
        <w:rPr>
          <w:szCs w:val="24"/>
        </w:rPr>
        <w:t>)</w:t>
      </w:r>
      <w:r w:rsidRPr="00386A6A">
        <w:rPr>
          <w:szCs w:val="24"/>
        </w:rPr>
        <w:t xml:space="preserve">. Facing the challenges of itinerant teaching: Perspectives and suggestions from the field. </w:t>
      </w:r>
      <w:r w:rsidRPr="00386A6A">
        <w:rPr>
          <w:i/>
          <w:szCs w:val="24"/>
        </w:rPr>
        <w:t xml:space="preserve">Journal of Visual Impairment </w:t>
      </w:r>
      <w:r w:rsidR="005B57EF" w:rsidRPr="00386A6A">
        <w:rPr>
          <w:i/>
          <w:szCs w:val="24"/>
        </w:rPr>
        <w:t>&amp;</w:t>
      </w:r>
      <w:r w:rsidRPr="00386A6A">
        <w:rPr>
          <w:i/>
          <w:szCs w:val="24"/>
        </w:rPr>
        <w:t xml:space="preserve"> Blindness</w:t>
      </w:r>
      <w:r w:rsidRPr="00386A6A">
        <w:rPr>
          <w:szCs w:val="24"/>
        </w:rPr>
        <w:t xml:space="preserve">, </w:t>
      </w:r>
      <w:r w:rsidRPr="00386A6A">
        <w:rPr>
          <w:i/>
          <w:szCs w:val="24"/>
        </w:rPr>
        <w:t>98</w:t>
      </w:r>
      <w:r w:rsidRPr="00386A6A">
        <w:rPr>
          <w:szCs w:val="24"/>
        </w:rPr>
        <w:t>, 420</w:t>
      </w:r>
      <w:r w:rsidR="00107601" w:rsidRPr="00386A6A">
        <w:rPr>
          <w:szCs w:val="24"/>
        </w:rPr>
        <w:t>–</w:t>
      </w:r>
      <w:r w:rsidRPr="00386A6A">
        <w:rPr>
          <w:szCs w:val="24"/>
        </w:rPr>
        <w:t>433</w:t>
      </w:r>
      <w:r w:rsidR="00107601" w:rsidRPr="00386A6A">
        <w:rPr>
          <w:szCs w:val="24"/>
        </w:rPr>
        <w:t>.</w:t>
      </w:r>
    </w:p>
    <w:p w14:paraId="034B82A3" w14:textId="77777777" w:rsidR="00E100A4" w:rsidRPr="00BF4B9F" w:rsidRDefault="00E100A4" w:rsidP="00E100A4">
      <w:pPr>
        <w:rPr>
          <w:szCs w:val="24"/>
        </w:rPr>
      </w:pPr>
      <w:proofErr w:type="spellStart"/>
      <w:r w:rsidRPr="00BF4B9F">
        <w:rPr>
          <w:szCs w:val="24"/>
        </w:rPr>
        <w:t>DiSchiano</w:t>
      </w:r>
      <w:proofErr w:type="spellEnd"/>
      <w:r w:rsidRPr="00BF4B9F">
        <w:rPr>
          <w:szCs w:val="24"/>
        </w:rPr>
        <w:t xml:space="preserve">, Zach (October 2017). 4 Key Factors Impacting Teacher Retention. Retrieved from </w:t>
      </w:r>
      <w:hyperlink r:id="rId25" w:history="1">
        <w:r w:rsidRPr="00BF4B9F">
          <w:rPr>
            <w:rStyle w:val="Hyperlink"/>
            <w:szCs w:val="24"/>
          </w:rPr>
          <w:t>https://www.tasb.org/Services/HR-Services/HRX/Recruiting-and-Hiring/4-Key-Factors-Impacting-Teacher-Retention.aspx</w:t>
        </w:r>
      </w:hyperlink>
    </w:p>
    <w:p w14:paraId="5DCB89D2" w14:textId="6F74A1E8" w:rsidR="00832909" w:rsidRPr="00386A6A" w:rsidRDefault="00832909" w:rsidP="00832909">
      <w:pPr>
        <w:rPr>
          <w:b/>
          <w:szCs w:val="24"/>
        </w:rPr>
      </w:pPr>
      <w:r w:rsidRPr="00386A6A">
        <w:rPr>
          <w:szCs w:val="24"/>
        </w:rPr>
        <w:t>Griffin-</w:t>
      </w:r>
      <w:r w:rsidRPr="00386A6A">
        <w:rPr>
          <w:rFonts w:cs="Calibri"/>
          <w:szCs w:val="24"/>
        </w:rPr>
        <w:t>Shirley, N.,</w:t>
      </w:r>
      <w:r w:rsidRPr="00386A6A">
        <w:rPr>
          <w:rFonts w:cs="Calibri"/>
          <w:b/>
          <w:bCs/>
          <w:szCs w:val="24"/>
        </w:rPr>
        <w:t xml:space="preserve"> </w:t>
      </w:r>
      <w:proofErr w:type="spellStart"/>
      <w:r w:rsidRPr="00386A6A">
        <w:rPr>
          <w:rFonts w:cs="Calibri"/>
          <w:bCs/>
          <w:szCs w:val="24"/>
        </w:rPr>
        <w:t>Pogrund</w:t>
      </w:r>
      <w:proofErr w:type="spellEnd"/>
      <w:r w:rsidRPr="00386A6A">
        <w:rPr>
          <w:rFonts w:cs="Calibri"/>
          <w:bCs/>
          <w:szCs w:val="24"/>
        </w:rPr>
        <w:t xml:space="preserve">, </w:t>
      </w:r>
      <w:r w:rsidR="00F17505" w:rsidRPr="00386A6A">
        <w:rPr>
          <w:rFonts w:cs="Calibri"/>
          <w:bCs/>
          <w:szCs w:val="24"/>
        </w:rPr>
        <w:t xml:space="preserve">R., </w:t>
      </w:r>
      <w:r w:rsidR="00107601" w:rsidRPr="00386A6A">
        <w:rPr>
          <w:rFonts w:cs="Calibri"/>
          <w:bCs/>
          <w:szCs w:val="24"/>
        </w:rPr>
        <w:t xml:space="preserve">&amp; </w:t>
      </w:r>
      <w:proofErr w:type="spellStart"/>
      <w:r w:rsidRPr="00386A6A">
        <w:rPr>
          <w:rFonts w:cs="Calibri"/>
          <w:bCs/>
          <w:szCs w:val="24"/>
        </w:rPr>
        <w:t>Grimmet</w:t>
      </w:r>
      <w:proofErr w:type="spellEnd"/>
      <w:r w:rsidRPr="00386A6A">
        <w:rPr>
          <w:rFonts w:cs="Calibri"/>
          <w:bCs/>
          <w:szCs w:val="24"/>
        </w:rPr>
        <w:t xml:space="preserve">, E. </w:t>
      </w:r>
      <w:r w:rsidR="00690319" w:rsidRPr="00386A6A">
        <w:rPr>
          <w:rFonts w:cs="Calibri"/>
          <w:bCs/>
          <w:szCs w:val="24"/>
        </w:rPr>
        <w:t>(</w:t>
      </w:r>
      <w:r w:rsidRPr="00386A6A">
        <w:rPr>
          <w:szCs w:val="24"/>
        </w:rPr>
        <w:t>2011</w:t>
      </w:r>
      <w:r w:rsidR="00690319" w:rsidRPr="00386A6A">
        <w:rPr>
          <w:szCs w:val="24"/>
        </w:rPr>
        <w:t>)</w:t>
      </w:r>
      <w:r w:rsidRPr="00386A6A">
        <w:rPr>
          <w:szCs w:val="24"/>
        </w:rPr>
        <w:t xml:space="preserve">. View of </w:t>
      </w:r>
      <w:r w:rsidR="00107601" w:rsidRPr="00386A6A">
        <w:rPr>
          <w:szCs w:val="24"/>
        </w:rPr>
        <w:t>dual</w:t>
      </w:r>
      <w:r w:rsidRPr="00386A6A">
        <w:rPr>
          <w:szCs w:val="24"/>
        </w:rPr>
        <w:t>-certified vision education professionals across the United States.</w:t>
      </w:r>
      <w:r w:rsidR="00573C61" w:rsidRPr="00386A6A">
        <w:rPr>
          <w:szCs w:val="24"/>
        </w:rPr>
        <w:t xml:space="preserve"> </w:t>
      </w:r>
      <w:r w:rsidRPr="00386A6A">
        <w:rPr>
          <w:i/>
          <w:szCs w:val="24"/>
        </w:rPr>
        <w:t>Insight</w:t>
      </w:r>
      <w:r w:rsidRPr="00386A6A">
        <w:rPr>
          <w:szCs w:val="24"/>
        </w:rPr>
        <w:t xml:space="preserve">, </w:t>
      </w:r>
      <w:r w:rsidRPr="00386A6A">
        <w:rPr>
          <w:i/>
          <w:szCs w:val="24"/>
        </w:rPr>
        <w:t>4</w:t>
      </w:r>
      <w:r w:rsidR="00107601" w:rsidRPr="00386A6A">
        <w:rPr>
          <w:i/>
          <w:szCs w:val="24"/>
        </w:rPr>
        <w:t>,</w:t>
      </w:r>
      <w:r w:rsidRPr="00386A6A">
        <w:rPr>
          <w:szCs w:val="24"/>
        </w:rPr>
        <w:t xml:space="preserve"> 15</w:t>
      </w:r>
      <w:r w:rsidR="00107601" w:rsidRPr="00386A6A">
        <w:rPr>
          <w:szCs w:val="24"/>
        </w:rPr>
        <w:t>–</w:t>
      </w:r>
      <w:r w:rsidRPr="00386A6A">
        <w:rPr>
          <w:szCs w:val="24"/>
        </w:rPr>
        <w:t>21.</w:t>
      </w:r>
      <w:r w:rsidR="00F7680D" w:rsidRPr="00386A6A">
        <w:rPr>
          <w:szCs w:val="24"/>
        </w:rPr>
        <w:t xml:space="preserve"> </w:t>
      </w:r>
    </w:p>
    <w:p w14:paraId="3061C69B" w14:textId="7E24B2FD" w:rsidR="00B9368A" w:rsidRDefault="00B9368A" w:rsidP="00832909">
      <w:pPr>
        <w:rPr>
          <w:szCs w:val="24"/>
        </w:rPr>
      </w:pPr>
      <w:r w:rsidRPr="00386A6A">
        <w:rPr>
          <w:szCs w:val="24"/>
        </w:rPr>
        <w:t>In</w:t>
      </w:r>
      <w:r w:rsidR="00B32780">
        <w:rPr>
          <w:szCs w:val="24"/>
        </w:rPr>
        <w:t>gersoll, R., &amp; Merrill, L. (updated 2014</w:t>
      </w:r>
      <w:r w:rsidRPr="00386A6A">
        <w:rPr>
          <w:szCs w:val="24"/>
        </w:rPr>
        <w:t xml:space="preserve">). </w:t>
      </w:r>
      <w:r w:rsidR="00586328" w:rsidRPr="00386A6A">
        <w:rPr>
          <w:i/>
          <w:szCs w:val="24"/>
        </w:rPr>
        <w:t xml:space="preserve">Seven </w:t>
      </w:r>
      <w:r w:rsidR="005B57EF" w:rsidRPr="00386A6A">
        <w:rPr>
          <w:i/>
          <w:szCs w:val="24"/>
        </w:rPr>
        <w:t>t</w:t>
      </w:r>
      <w:r w:rsidR="00586328" w:rsidRPr="00386A6A">
        <w:rPr>
          <w:i/>
          <w:szCs w:val="24"/>
        </w:rPr>
        <w:t xml:space="preserve">rends: The </w:t>
      </w:r>
      <w:r w:rsidR="005B57EF" w:rsidRPr="00386A6A">
        <w:rPr>
          <w:i/>
          <w:szCs w:val="24"/>
        </w:rPr>
        <w:t>t</w:t>
      </w:r>
      <w:r w:rsidR="00586328" w:rsidRPr="00386A6A">
        <w:rPr>
          <w:i/>
          <w:szCs w:val="24"/>
        </w:rPr>
        <w:t xml:space="preserve">ransformation of the </w:t>
      </w:r>
      <w:r w:rsidR="005B57EF" w:rsidRPr="00386A6A">
        <w:rPr>
          <w:i/>
          <w:szCs w:val="24"/>
        </w:rPr>
        <w:t>t</w:t>
      </w:r>
      <w:r w:rsidR="00586328" w:rsidRPr="00386A6A">
        <w:rPr>
          <w:i/>
          <w:szCs w:val="24"/>
        </w:rPr>
        <w:t xml:space="preserve">eaching </w:t>
      </w:r>
      <w:r w:rsidR="005B57EF" w:rsidRPr="00386A6A">
        <w:rPr>
          <w:i/>
          <w:szCs w:val="24"/>
        </w:rPr>
        <w:t>f</w:t>
      </w:r>
      <w:r w:rsidR="00586328" w:rsidRPr="00386A6A">
        <w:rPr>
          <w:i/>
          <w:szCs w:val="24"/>
        </w:rPr>
        <w:t>orce</w:t>
      </w:r>
      <w:r w:rsidRPr="00386A6A">
        <w:rPr>
          <w:szCs w:val="24"/>
        </w:rPr>
        <w:t xml:space="preserve">. Retrieved from </w:t>
      </w:r>
      <w:hyperlink r:id="rId26" w:history="1">
        <w:r w:rsidR="00675D03" w:rsidRPr="00386A6A">
          <w:rPr>
            <w:rStyle w:val="Hyperlink"/>
            <w:szCs w:val="24"/>
          </w:rPr>
          <w:t>http://repository.upenn.edu/cgi/viewcontent.cgi?article=1261&amp;context=gse_pubs</w:t>
        </w:r>
      </w:hyperlink>
      <w:r w:rsidR="00586328" w:rsidRPr="00386A6A">
        <w:rPr>
          <w:szCs w:val="24"/>
        </w:rPr>
        <w:t>.</w:t>
      </w:r>
    </w:p>
    <w:p w14:paraId="60F37E16" w14:textId="509CB2C8" w:rsidR="007600DD" w:rsidRDefault="007600DD" w:rsidP="00832909">
      <w:proofErr w:type="spellStart"/>
      <w:r>
        <w:rPr>
          <w:szCs w:val="24"/>
        </w:rPr>
        <w:t>Morath</w:t>
      </w:r>
      <w:proofErr w:type="spellEnd"/>
      <w:r>
        <w:rPr>
          <w:szCs w:val="24"/>
        </w:rPr>
        <w:t xml:space="preserve">, Mike, TEA Commissioner of Education. </w:t>
      </w:r>
      <w:r>
        <w:t xml:space="preserve">Pocket Edition 2018-19 Texas Public School Statistics. Retrieved from </w:t>
      </w:r>
      <w:hyperlink r:id="rId27" w:history="1">
        <w:r w:rsidRPr="00BA2019">
          <w:rPr>
            <w:rStyle w:val="Hyperlink"/>
          </w:rPr>
          <w:t>https://tea.texas.gov/sites/default/files/2018-19%20Pocket_Edition_Final.pdf</w:t>
        </w:r>
      </w:hyperlink>
    </w:p>
    <w:p w14:paraId="26837647" w14:textId="71280EA4" w:rsidR="004D27CA" w:rsidRPr="004D27CA" w:rsidRDefault="004D27CA" w:rsidP="00832909">
      <w:pPr>
        <w:rPr>
          <w:szCs w:val="24"/>
        </w:rPr>
      </w:pPr>
      <w:r w:rsidRPr="0072648E">
        <w:rPr>
          <w:szCs w:val="24"/>
        </w:rPr>
        <w:t xml:space="preserve">Smith, </w:t>
      </w:r>
      <w:r>
        <w:rPr>
          <w:szCs w:val="24"/>
        </w:rPr>
        <w:t xml:space="preserve">Todd G., </w:t>
      </w:r>
      <w:r w:rsidRPr="0072648E">
        <w:rPr>
          <w:szCs w:val="24"/>
        </w:rPr>
        <w:t xml:space="preserve">Ph.D. </w:t>
      </w:r>
      <w:r>
        <w:rPr>
          <w:szCs w:val="24"/>
        </w:rPr>
        <w:t xml:space="preserve">(April 2020). </w:t>
      </w:r>
      <w:r w:rsidRPr="0072648E">
        <w:rPr>
          <w:szCs w:val="24"/>
        </w:rPr>
        <w:t>Employed Teacher Demographics</w:t>
      </w:r>
      <w:r>
        <w:rPr>
          <w:szCs w:val="24"/>
        </w:rPr>
        <w:t xml:space="preserve"> 2014-15 through 2018-19</w:t>
      </w:r>
      <w:r w:rsidRPr="0072648E">
        <w:rPr>
          <w:szCs w:val="24"/>
        </w:rPr>
        <w:t>.</w:t>
      </w:r>
      <w:r w:rsidRPr="00BF4B9F">
        <w:rPr>
          <w:szCs w:val="24"/>
        </w:rPr>
        <w:t xml:space="preserve"> T</w:t>
      </w:r>
      <w:r>
        <w:rPr>
          <w:szCs w:val="24"/>
        </w:rPr>
        <w:t xml:space="preserve">EA PEIMS data. </w:t>
      </w:r>
      <w:r w:rsidRPr="00BF4B9F">
        <w:rPr>
          <w:szCs w:val="24"/>
        </w:rPr>
        <w:t xml:space="preserve">Retrieved from </w:t>
      </w:r>
      <w:hyperlink r:id="rId28" w:history="1">
        <w:r w:rsidRPr="00BA2019">
          <w:rPr>
            <w:rStyle w:val="Hyperlink"/>
            <w:szCs w:val="24"/>
          </w:rPr>
          <w:t>https://tea.texas.gov/sites/default/files/Employed%20Teacher%20Demographics%202014-15%20through%202018-19.pdf</w:t>
        </w:r>
      </w:hyperlink>
    </w:p>
    <w:p w14:paraId="3C9C0FEE" w14:textId="1B10526F" w:rsidR="005B6B35" w:rsidRDefault="005B6B35" w:rsidP="00832909">
      <w:pPr>
        <w:rPr>
          <w:szCs w:val="24"/>
        </w:rPr>
      </w:pPr>
      <w:r>
        <w:rPr>
          <w:szCs w:val="24"/>
        </w:rPr>
        <w:t>Texas School for the Blind and Visually Impaired. (</w:t>
      </w:r>
      <w:proofErr w:type="spellStart"/>
      <w:r w:rsidR="00F07A19">
        <w:rPr>
          <w:szCs w:val="24"/>
        </w:rPr>
        <w:t>n.d.</w:t>
      </w:r>
      <w:proofErr w:type="spellEnd"/>
      <w:r w:rsidR="00F07A19">
        <w:rPr>
          <w:szCs w:val="24"/>
        </w:rPr>
        <w:t xml:space="preserve">) </w:t>
      </w:r>
      <w:r w:rsidR="00F07A19" w:rsidRPr="00F07A19">
        <w:rPr>
          <w:i/>
          <w:szCs w:val="24"/>
        </w:rPr>
        <w:t>Administrator’</w:t>
      </w:r>
      <w:r w:rsidR="00F07A19">
        <w:rPr>
          <w:i/>
          <w:szCs w:val="24"/>
        </w:rPr>
        <w:t>s Toolbox, Chapter 7: Hiring and Employment Options</w:t>
      </w:r>
      <w:r w:rsidR="00EB49DA">
        <w:rPr>
          <w:i/>
          <w:szCs w:val="24"/>
        </w:rPr>
        <w:t>.</w:t>
      </w:r>
      <w:r w:rsidR="00F07A19">
        <w:rPr>
          <w:i/>
          <w:szCs w:val="24"/>
        </w:rPr>
        <w:t xml:space="preserve"> </w:t>
      </w:r>
      <w:r w:rsidR="00F07A19">
        <w:rPr>
          <w:szCs w:val="24"/>
        </w:rPr>
        <w:t xml:space="preserve"> Austin, TX</w:t>
      </w:r>
      <w:r w:rsidR="0051031B">
        <w:rPr>
          <w:szCs w:val="24"/>
        </w:rPr>
        <w:t xml:space="preserve"> </w:t>
      </w:r>
    </w:p>
    <w:p w14:paraId="7088F692" w14:textId="6D1F74CE" w:rsidR="00F962A9" w:rsidRDefault="00F962A9" w:rsidP="00832909">
      <w:pPr>
        <w:rPr>
          <w:szCs w:val="24"/>
        </w:rPr>
      </w:pPr>
      <w:r w:rsidRPr="00386A6A">
        <w:rPr>
          <w:szCs w:val="24"/>
        </w:rPr>
        <w:t>Texas School for the B</w:t>
      </w:r>
      <w:r w:rsidR="0072648E">
        <w:rPr>
          <w:szCs w:val="24"/>
        </w:rPr>
        <w:t>lind and Visually Impaired. (2020</w:t>
      </w:r>
      <w:r w:rsidRPr="00386A6A">
        <w:rPr>
          <w:szCs w:val="24"/>
        </w:rPr>
        <w:t xml:space="preserve">). </w:t>
      </w:r>
      <w:r w:rsidRPr="00386A6A">
        <w:rPr>
          <w:i/>
          <w:szCs w:val="24"/>
        </w:rPr>
        <w:t>Annual registration of students with visual impairments</w:t>
      </w:r>
      <w:r w:rsidRPr="00386A6A">
        <w:rPr>
          <w:szCs w:val="24"/>
        </w:rPr>
        <w:t xml:space="preserve">. </w:t>
      </w:r>
      <w:r>
        <w:rPr>
          <w:szCs w:val="24"/>
        </w:rPr>
        <w:t xml:space="preserve"> </w:t>
      </w:r>
      <w:r w:rsidRPr="00386A6A">
        <w:rPr>
          <w:szCs w:val="24"/>
        </w:rPr>
        <w:t>Austin, TX</w:t>
      </w:r>
    </w:p>
    <w:p w14:paraId="7E67E5CE" w14:textId="3D1AC183" w:rsidR="005973E5" w:rsidRPr="001C1AD6" w:rsidRDefault="003853BE" w:rsidP="00832909">
      <w:pPr>
        <w:rPr>
          <w:szCs w:val="24"/>
        </w:rPr>
      </w:pPr>
      <w:r w:rsidRPr="00386A6A">
        <w:rPr>
          <w:szCs w:val="24"/>
        </w:rPr>
        <w:t>U.S. Department of Education, National</w:t>
      </w:r>
      <w:r w:rsidR="00803A6F" w:rsidRPr="00386A6A">
        <w:rPr>
          <w:szCs w:val="24"/>
        </w:rPr>
        <w:t xml:space="preserve"> Center for Education Statistics, Institut</w:t>
      </w:r>
      <w:r w:rsidR="001C1AD6">
        <w:rPr>
          <w:szCs w:val="24"/>
        </w:rPr>
        <w:t>ion of Education Sciences. (2014</w:t>
      </w:r>
      <w:r w:rsidR="00803A6F" w:rsidRPr="00386A6A">
        <w:rPr>
          <w:szCs w:val="24"/>
        </w:rPr>
        <w:t xml:space="preserve">). </w:t>
      </w:r>
      <w:r w:rsidR="00803A6F" w:rsidRPr="00386A6A">
        <w:rPr>
          <w:i/>
          <w:szCs w:val="24"/>
        </w:rPr>
        <w:t>Teacher attrition and</w:t>
      </w:r>
      <w:r w:rsidR="001C1AD6">
        <w:rPr>
          <w:i/>
          <w:szCs w:val="24"/>
        </w:rPr>
        <w:t xml:space="preserve"> mobility: Results from the 2012–13</w:t>
      </w:r>
      <w:r w:rsidR="00803A6F" w:rsidRPr="00386A6A">
        <w:rPr>
          <w:i/>
          <w:szCs w:val="24"/>
        </w:rPr>
        <w:t xml:space="preserve"> teacher follow-up survey</w:t>
      </w:r>
      <w:r w:rsidR="00803A6F" w:rsidRPr="00386A6A">
        <w:rPr>
          <w:szCs w:val="24"/>
        </w:rPr>
        <w:t xml:space="preserve"> (NCES Publicatio</w:t>
      </w:r>
      <w:r w:rsidR="001C1AD6">
        <w:rPr>
          <w:szCs w:val="24"/>
        </w:rPr>
        <w:t xml:space="preserve">n No. 2014-077). Retrieved from </w:t>
      </w:r>
      <w:hyperlink r:id="rId29" w:history="1">
        <w:r w:rsidR="001C1AD6" w:rsidRPr="001C1AD6">
          <w:rPr>
            <w:rStyle w:val="Hyperlink"/>
            <w:szCs w:val="24"/>
          </w:rPr>
          <w:t>https://nces.ed.gov/pubs2014/2014077.pdf</w:t>
        </w:r>
      </w:hyperlink>
    </w:p>
    <w:p w14:paraId="77D088B1" w14:textId="77777777" w:rsidR="001C7445" w:rsidRPr="00AD689F" w:rsidRDefault="001C7445" w:rsidP="00832909">
      <w:pPr>
        <w:rPr>
          <w:sz w:val="20"/>
        </w:rPr>
      </w:pPr>
    </w:p>
    <w:sectPr w:rsidR="001C7445" w:rsidRPr="00AD689F" w:rsidSect="00BD5AB0">
      <w:endnotePr>
        <w:numFmt w:val="decimal"/>
      </w:endnotePr>
      <w:type w:val="continuous"/>
      <w:pgSz w:w="12240" w:h="15840"/>
      <w:pgMar w:top="1152" w:right="1080" w:bottom="1152" w:left="1080" w:header="144" w:footer="234" w:gutter="0"/>
      <w:pgNumType w:start="13"/>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6079A" w14:textId="77777777" w:rsidR="006356B0" w:rsidRDefault="006356B0">
      <w:r>
        <w:separator/>
      </w:r>
    </w:p>
  </w:endnote>
  <w:endnote w:type="continuationSeparator" w:id="0">
    <w:p w14:paraId="1A3DF7D4" w14:textId="77777777" w:rsidR="006356B0" w:rsidRDefault="0063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5E15A" w14:textId="77777777" w:rsidR="00985052" w:rsidRPr="00C20CB3" w:rsidRDefault="00985052" w:rsidP="00A8686B">
    <w:pPr>
      <w:pStyle w:val="Footer"/>
      <w:tabs>
        <w:tab w:val="clear" w:pos="4320"/>
      </w:tabs>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893388"/>
      <w:docPartObj>
        <w:docPartGallery w:val="Page Numbers (Bottom of Page)"/>
        <w:docPartUnique/>
      </w:docPartObj>
    </w:sdtPr>
    <w:sdtEndPr>
      <w:rPr>
        <w:noProof/>
      </w:rPr>
    </w:sdtEndPr>
    <w:sdtContent>
      <w:p w14:paraId="0AF9CE6B" w14:textId="3FCAF5B7" w:rsidR="00985052" w:rsidRDefault="00985052">
        <w:pPr>
          <w:pStyle w:val="Footer"/>
          <w:jc w:val="right"/>
        </w:pPr>
        <w:r>
          <w:fldChar w:fldCharType="begin"/>
        </w:r>
        <w:r>
          <w:instrText xml:space="preserve"> PAGE   \* MERGEFORMAT </w:instrText>
        </w:r>
        <w:r>
          <w:fldChar w:fldCharType="separate"/>
        </w:r>
        <w:r w:rsidR="00007BBF">
          <w:rPr>
            <w:noProof/>
          </w:rPr>
          <w:t>20</w:t>
        </w:r>
        <w:r>
          <w:rPr>
            <w:noProof/>
          </w:rPr>
          <w:fldChar w:fldCharType="end"/>
        </w:r>
      </w:p>
    </w:sdtContent>
  </w:sdt>
  <w:p w14:paraId="68D8E463" w14:textId="77777777" w:rsidR="00985052" w:rsidRPr="00C20CB3" w:rsidRDefault="00985052" w:rsidP="00A8686B">
    <w:pPr>
      <w:pStyle w:val="Footer"/>
      <w:tabs>
        <w:tab w:val="clear" w:pos="4320"/>
      </w:tabs>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822A6" w14:textId="77777777" w:rsidR="006356B0" w:rsidRDefault="006356B0">
      <w:r>
        <w:separator/>
      </w:r>
    </w:p>
  </w:footnote>
  <w:footnote w:type="continuationSeparator" w:id="0">
    <w:p w14:paraId="64C38E8B" w14:textId="77777777" w:rsidR="006356B0" w:rsidRDefault="006356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504FAE"/>
    <w:lvl w:ilvl="0">
      <w:start w:val="1"/>
      <w:numFmt w:val="bullet"/>
      <w:lvlText w:val=""/>
      <w:lvlJc w:val="left"/>
      <w:pPr>
        <w:tabs>
          <w:tab w:val="num" w:pos="-90"/>
        </w:tabs>
        <w:ind w:left="-90" w:firstLine="0"/>
      </w:pPr>
      <w:rPr>
        <w:rFonts w:ascii="Symbol" w:hAnsi="Symbol" w:hint="default"/>
      </w:rPr>
    </w:lvl>
    <w:lvl w:ilvl="1">
      <w:start w:val="1"/>
      <w:numFmt w:val="bullet"/>
      <w:lvlText w:val=""/>
      <w:lvlJc w:val="left"/>
      <w:pPr>
        <w:tabs>
          <w:tab w:val="num" w:pos="630"/>
        </w:tabs>
        <w:ind w:left="990" w:hanging="360"/>
      </w:pPr>
      <w:rPr>
        <w:rFonts w:ascii="Symbol" w:hAnsi="Symbol" w:hint="default"/>
      </w:rPr>
    </w:lvl>
    <w:lvl w:ilvl="2">
      <w:start w:val="1"/>
      <w:numFmt w:val="bullet"/>
      <w:lvlText w:val="o"/>
      <w:lvlJc w:val="left"/>
      <w:pPr>
        <w:tabs>
          <w:tab w:val="num" w:pos="1350"/>
        </w:tabs>
        <w:ind w:left="1710" w:hanging="360"/>
      </w:pPr>
      <w:rPr>
        <w:rFonts w:ascii="Courier New" w:hAnsi="Courier New" w:cs="Courier New" w:hint="default"/>
      </w:rPr>
    </w:lvl>
    <w:lvl w:ilvl="3">
      <w:start w:val="1"/>
      <w:numFmt w:val="bullet"/>
      <w:lvlText w:val=""/>
      <w:lvlJc w:val="left"/>
      <w:pPr>
        <w:tabs>
          <w:tab w:val="num" w:pos="2070"/>
        </w:tabs>
        <w:ind w:left="2430" w:hanging="360"/>
      </w:pPr>
      <w:rPr>
        <w:rFonts w:ascii="Wingdings" w:hAnsi="Wingdings" w:hint="default"/>
      </w:rPr>
    </w:lvl>
    <w:lvl w:ilvl="4">
      <w:start w:val="1"/>
      <w:numFmt w:val="bullet"/>
      <w:lvlText w:val=""/>
      <w:lvlJc w:val="left"/>
      <w:pPr>
        <w:tabs>
          <w:tab w:val="num" w:pos="2790"/>
        </w:tabs>
        <w:ind w:left="3150" w:hanging="360"/>
      </w:pPr>
      <w:rPr>
        <w:rFonts w:ascii="Wingdings" w:hAnsi="Wingdings" w:hint="default"/>
      </w:rPr>
    </w:lvl>
    <w:lvl w:ilvl="5">
      <w:start w:val="1"/>
      <w:numFmt w:val="bullet"/>
      <w:lvlText w:val=""/>
      <w:lvlJc w:val="left"/>
      <w:pPr>
        <w:tabs>
          <w:tab w:val="num" w:pos="3510"/>
        </w:tabs>
        <w:ind w:left="3870" w:hanging="360"/>
      </w:pPr>
      <w:rPr>
        <w:rFonts w:ascii="Symbol" w:hAnsi="Symbol" w:hint="default"/>
      </w:rPr>
    </w:lvl>
    <w:lvl w:ilvl="6">
      <w:start w:val="1"/>
      <w:numFmt w:val="bullet"/>
      <w:lvlText w:val="o"/>
      <w:lvlJc w:val="left"/>
      <w:pPr>
        <w:tabs>
          <w:tab w:val="num" w:pos="4230"/>
        </w:tabs>
        <w:ind w:left="4590" w:hanging="360"/>
      </w:pPr>
      <w:rPr>
        <w:rFonts w:ascii="Courier New" w:hAnsi="Courier New" w:cs="Courier New" w:hint="default"/>
      </w:rPr>
    </w:lvl>
    <w:lvl w:ilvl="7">
      <w:start w:val="1"/>
      <w:numFmt w:val="bullet"/>
      <w:lvlText w:val=""/>
      <w:lvlJc w:val="left"/>
      <w:pPr>
        <w:tabs>
          <w:tab w:val="num" w:pos="4950"/>
        </w:tabs>
        <w:ind w:left="5310" w:hanging="360"/>
      </w:pPr>
      <w:rPr>
        <w:rFonts w:ascii="Wingdings" w:hAnsi="Wingdings" w:hint="default"/>
      </w:rPr>
    </w:lvl>
    <w:lvl w:ilvl="8">
      <w:start w:val="1"/>
      <w:numFmt w:val="bullet"/>
      <w:lvlText w:val=""/>
      <w:lvlJc w:val="left"/>
      <w:pPr>
        <w:tabs>
          <w:tab w:val="num" w:pos="5670"/>
        </w:tabs>
        <w:ind w:left="6030" w:hanging="360"/>
      </w:pPr>
      <w:rPr>
        <w:rFonts w:ascii="Wingdings" w:hAnsi="Wingdings" w:hint="default"/>
      </w:rPr>
    </w:lvl>
  </w:abstractNum>
  <w:abstractNum w:abstractNumId="1" w15:restartNumberingAfterBreak="0">
    <w:nsid w:val="00DE65A3"/>
    <w:multiLevelType w:val="hybridMultilevel"/>
    <w:tmpl w:val="CFA2FD16"/>
    <w:lvl w:ilvl="0" w:tplc="93FE1B2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10B4F"/>
    <w:multiLevelType w:val="hybridMultilevel"/>
    <w:tmpl w:val="11C62DC0"/>
    <w:lvl w:ilvl="0" w:tplc="93FE1B2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B42C5"/>
    <w:multiLevelType w:val="hybridMultilevel"/>
    <w:tmpl w:val="079AF3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11BE5"/>
    <w:multiLevelType w:val="hybridMultilevel"/>
    <w:tmpl w:val="CC60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56950"/>
    <w:multiLevelType w:val="hybridMultilevel"/>
    <w:tmpl w:val="32C87E74"/>
    <w:lvl w:ilvl="0" w:tplc="99860DF4">
      <w:start w:val="1"/>
      <w:numFmt w:val="decimal"/>
      <w:lvlText w:val="%1."/>
      <w:lvlJc w:val="left"/>
      <w:pPr>
        <w:ind w:left="420" w:hanging="360"/>
      </w:pPr>
      <w:rPr>
        <w:rFonts w:hint="default"/>
        <w:sz w:val="20"/>
        <w:vertAlign w:val="superscrip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E6F6C52"/>
    <w:multiLevelType w:val="hybridMultilevel"/>
    <w:tmpl w:val="F5845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7C2A95"/>
    <w:multiLevelType w:val="hybridMultilevel"/>
    <w:tmpl w:val="A4EC7CDE"/>
    <w:lvl w:ilvl="0" w:tplc="93FE1B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932484"/>
    <w:multiLevelType w:val="hybridMultilevel"/>
    <w:tmpl w:val="06903B58"/>
    <w:lvl w:ilvl="0" w:tplc="93FE1B28">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8473A8"/>
    <w:multiLevelType w:val="hybridMultilevel"/>
    <w:tmpl w:val="A9186B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042FB1"/>
    <w:multiLevelType w:val="hybridMultilevel"/>
    <w:tmpl w:val="B308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1359C"/>
    <w:multiLevelType w:val="hybridMultilevel"/>
    <w:tmpl w:val="E36EAB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511F8E"/>
    <w:multiLevelType w:val="hybridMultilevel"/>
    <w:tmpl w:val="632C1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E23601"/>
    <w:multiLevelType w:val="hybridMultilevel"/>
    <w:tmpl w:val="0A1C1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243BD"/>
    <w:multiLevelType w:val="hybridMultilevel"/>
    <w:tmpl w:val="91DA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7295D"/>
    <w:multiLevelType w:val="hybridMultilevel"/>
    <w:tmpl w:val="2B62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C0D87"/>
    <w:multiLevelType w:val="hybridMultilevel"/>
    <w:tmpl w:val="22047F84"/>
    <w:lvl w:ilvl="0" w:tplc="32F8E0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E7CF2"/>
    <w:multiLevelType w:val="hybridMultilevel"/>
    <w:tmpl w:val="26CCB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7A40EF"/>
    <w:multiLevelType w:val="hybridMultilevel"/>
    <w:tmpl w:val="C5EEC9B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B850C26"/>
    <w:multiLevelType w:val="hybridMultilevel"/>
    <w:tmpl w:val="63F4E50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0A37E9"/>
    <w:multiLevelType w:val="hybridMultilevel"/>
    <w:tmpl w:val="DCC06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077C5"/>
    <w:multiLevelType w:val="hybridMultilevel"/>
    <w:tmpl w:val="2ECA634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BA17A1"/>
    <w:multiLevelType w:val="hybridMultilevel"/>
    <w:tmpl w:val="6756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72C24"/>
    <w:multiLevelType w:val="hybridMultilevel"/>
    <w:tmpl w:val="5C24362E"/>
    <w:lvl w:ilvl="0" w:tplc="93FE1B28">
      <w:start w:val="1"/>
      <w:numFmt w:val="bullet"/>
      <w:lvlText w:val="o"/>
      <w:lvlJc w:val="left"/>
      <w:pPr>
        <w:ind w:left="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492D14D6"/>
    <w:multiLevelType w:val="hybridMultilevel"/>
    <w:tmpl w:val="0A92E6CA"/>
    <w:lvl w:ilvl="0" w:tplc="FE1031C8">
      <w:start w:val="1"/>
      <w:numFmt w:val="bullet"/>
      <w:lvlText w:val="!"/>
      <w:lvlJc w:val="left"/>
      <w:pPr>
        <w:tabs>
          <w:tab w:val="num" w:pos="360"/>
        </w:tabs>
        <w:ind w:left="0" w:firstLine="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936715"/>
    <w:multiLevelType w:val="hybridMultilevel"/>
    <w:tmpl w:val="A3603F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F96790B"/>
    <w:multiLevelType w:val="hybridMultilevel"/>
    <w:tmpl w:val="D272E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9D65D8"/>
    <w:multiLevelType w:val="hybridMultilevel"/>
    <w:tmpl w:val="A808D5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4E63D65"/>
    <w:multiLevelType w:val="hybridMultilevel"/>
    <w:tmpl w:val="FAFC5606"/>
    <w:lvl w:ilvl="0" w:tplc="88AEE3F2">
      <w:start w:val="2"/>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D56670"/>
    <w:multiLevelType w:val="hybridMultilevel"/>
    <w:tmpl w:val="31444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53471"/>
    <w:multiLevelType w:val="hybridMultilevel"/>
    <w:tmpl w:val="2CDEB13E"/>
    <w:lvl w:ilvl="0" w:tplc="04090001">
      <w:start w:val="1"/>
      <w:numFmt w:val="bullet"/>
      <w:lvlText w:val=""/>
      <w:lvlJc w:val="left"/>
      <w:pPr>
        <w:tabs>
          <w:tab w:val="num" w:pos="783"/>
        </w:tabs>
        <w:ind w:left="783" w:hanging="360"/>
      </w:pPr>
      <w:rPr>
        <w:rFonts w:ascii="Symbol" w:hAnsi="Symbol" w:hint="default"/>
      </w:rPr>
    </w:lvl>
    <w:lvl w:ilvl="1" w:tplc="04090003">
      <w:start w:val="1"/>
      <w:numFmt w:val="bullet"/>
      <w:lvlText w:val="o"/>
      <w:lvlJc w:val="left"/>
      <w:pPr>
        <w:tabs>
          <w:tab w:val="num" w:pos="1503"/>
        </w:tabs>
        <w:ind w:left="1503" w:hanging="360"/>
      </w:pPr>
      <w:rPr>
        <w:rFonts w:ascii="Courier New" w:hAnsi="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31" w15:restartNumberingAfterBreak="0">
    <w:nsid w:val="60363B60"/>
    <w:multiLevelType w:val="hybridMultilevel"/>
    <w:tmpl w:val="2214C086"/>
    <w:lvl w:ilvl="0" w:tplc="FE1031C8">
      <w:start w:val="1"/>
      <w:numFmt w:val="bullet"/>
      <w:lvlText w:val="!"/>
      <w:lvlJc w:val="left"/>
      <w:pPr>
        <w:tabs>
          <w:tab w:val="num" w:pos="540"/>
        </w:tabs>
        <w:ind w:left="180" w:firstLine="0"/>
      </w:pPr>
      <w:rPr>
        <w:rFonts w:ascii="WP TypographicSymbols" w:hAnsi="WP TypographicSymbol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48F7B5B"/>
    <w:multiLevelType w:val="hybridMultilevel"/>
    <w:tmpl w:val="6CBAB03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33" w15:restartNumberingAfterBreak="0">
    <w:nsid w:val="64B07AAA"/>
    <w:multiLevelType w:val="hybridMultilevel"/>
    <w:tmpl w:val="E5A8D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F4753"/>
    <w:multiLevelType w:val="hybridMultilevel"/>
    <w:tmpl w:val="DA103A1A"/>
    <w:lvl w:ilvl="0" w:tplc="93FE1B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E46A9E"/>
    <w:multiLevelType w:val="hybridMultilevel"/>
    <w:tmpl w:val="D824825E"/>
    <w:lvl w:ilvl="0" w:tplc="93FE1B28">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97BF4"/>
    <w:multiLevelType w:val="hybridMultilevel"/>
    <w:tmpl w:val="7E3071A4"/>
    <w:lvl w:ilvl="0" w:tplc="2F08A24C">
      <w:start w:val="1"/>
      <w:numFmt w:val="decimal"/>
      <w:lvlText w:val="%1"/>
      <w:lvlJc w:val="left"/>
      <w:pPr>
        <w:ind w:left="720" w:hanging="360"/>
      </w:pPr>
      <w:rPr>
        <w:rFonts w:cs="Calibr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B3439D"/>
    <w:multiLevelType w:val="hybridMultilevel"/>
    <w:tmpl w:val="4ED47028"/>
    <w:lvl w:ilvl="0" w:tplc="AD46D0A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C2D53"/>
    <w:multiLevelType w:val="hybridMultilevel"/>
    <w:tmpl w:val="19DC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15863"/>
    <w:multiLevelType w:val="hybridMultilevel"/>
    <w:tmpl w:val="510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87F22"/>
    <w:multiLevelType w:val="hybridMultilevel"/>
    <w:tmpl w:val="0CEAEC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300764"/>
    <w:multiLevelType w:val="hybridMultilevel"/>
    <w:tmpl w:val="639CB3F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642E6"/>
    <w:multiLevelType w:val="hybridMultilevel"/>
    <w:tmpl w:val="4766A31E"/>
    <w:lvl w:ilvl="0" w:tplc="57A01CB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4478CB"/>
    <w:multiLevelType w:val="hybridMultilevel"/>
    <w:tmpl w:val="933E4C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185565"/>
    <w:multiLevelType w:val="hybridMultilevel"/>
    <w:tmpl w:val="80746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7817653B"/>
    <w:multiLevelType w:val="hybridMultilevel"/>
    <w:tmpl w:val="B89A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E83AC6"/>
    <w:multiLevelType w:val="hybridMultilevel"/>
    <w:tmpl w:val="043C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461747"/>
    <w:multiLevelType w:val="hybridMultilevel"/>
    <w:tmpl w:val="42F4D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F4171"/>
    <w:multiLevelType w:val="hybridMultilevel"/>
    <w:tmpl w:val="FB78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216F93"/>
    <w:multiLevelType w:val="hybridMultilevel"/>
    <w:tmpl w:val="4EBE55F0"/>
    <w:lvl w:ilvl="0" w:tplc="93FE1B2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17"/>
  </w:num>
  <w:num w:numId="3">
    <w:abstractNumId w:val="3"/>
  </w:num>
  <w:num w:numId="4">
    <w:abstractNumId w:val="13"/>
  </w:num>
  <w:num w:numId="5">
    <w:abstractNumId w:val="30"/>
  </w:num>
  <w:num w:numId="6">
    <w:abstractNumId w:val="40"/>
  </w:num>
  <w:num w:numId="7">
    <w:abstractNumId w:val="28"/>
  </w:num>
  <w:num w:numId="8">
    <w:abstractNumId w:val="31"/>
  </w:num>
  <w:num w:numId="9">
    <w:abstractNumId w:val="24"/>
  </w:num>
  <w:num w:numId="10">
    <w:abstractNumId w:val="18"/>
  </w:num>
  <w:num w:numId="11">
    <w:abstractNumId w:val="15"/>
  </w:num>
  <w:num w:numId="12">
    <w:abstractNumId w:val="4"/>
  </w:num>
  <w:num w:numId="13">
    <w:abstractNumId w:val="45"/>
  </w:num>
  <w:num w:numId="14">
    <w:abstractNumId w:val="5"/>
  </w:num>
  <w:num w:numId="15">
    <w:abstractNumId w:val="6"/>
  </w:num>
  <w:num w:numId="16">
    <w:abstractNumId w:val="25"/>
  </w:num>
  <w:num w:numId="17">
    <w:abstractNumId w:val="14"/>
  </w:num>
  <w:num w:numId="18">
    <w:abstractNumId w:val="44"/>
  </w:num>
  <w:num w:numId="19">
    <w:abstractNumId w:val="39"/>
  </w:num>
  <w:num w:numId="20">
    <w:abstractNumId w:val="32"/>
  </w:num>
  <w:num w:numId="21">
    <w:abstractNumId w:val="0"/>
  </w:num>
  <w:num w:numId="22">
    <w:abstractNumId w:val="38"/>
  </w:num>
  <w:num w:numId="23">
    <w:abstractNumId w:val="46"/>
  </w:num>
  <w:num w:numId="24">
    <w:abstractNumId w:val="16"/>
  </w:num>
  <w:num w:numId="25">
    <w:abstractNumId w:val="11"/>
  </w:num>
  <w:num w:numId="26">
    <w:abstractNumId w:val="49"/>
  </w:num>
  <w:num w:numId="27">
    <w:abstractNumId w:val="7"/>
  </w:num>
  <w:num w:numId="28">
    <w:abstractNumId w:val="2"/>
  </w:num>
  <w:num w:numId="29">
    <w:abstractNumId w:val="48"/>
  </w:num>
  <w:num w:numId="30">
    <w:abstractNumId w:val="35"/>
  </w:num>
  <w:num w:numId="31">
    <w:abstractNumId w:val="10"/>
  </w:num>
  <w:num w:numId="32">
    <w:abstractNumId w:val="34"/>
  </w:num>
  <w:num w:numId="33">
    <w:abstractNumId w:val="8"/>
  </w:num>
  <w:num w:numId="34">
    <w:abstractNumId w:val="20"/>
  </w:num>
  <w:num w:numId="35">
    <w:abstractNumId w:val="42"/>
  </w:num>
  <w:num w:numId="36">
    <w:abstractNumId w:val="26"/>
  </w:num>
  <w:num w:numId="37">
    <w:abstractNumId w:val="23"/>
  </w:num>
  <w:num w:numId="38">
    <w:abstractNumId w:val="36"/>
  </w:num>
  <w:num w:numId="39">
    <w:abstractNumId w:val="33"/>
  </w:num>
  <w:num w:numId="40">
    <w:abstractNumId w:val="12"/>
  </w:num>
  <w:num w:numId="41">
    <w:abstractNumId w:val="47"/>
  </w:num>
  <w:num w:numId="42">
    <w:abstractNumId w:val="41"/>
  </w:num>
  <w:num w:numId="43">
    <w:abstractNumId w:val="27"/>
  </w:num>
  <w:num w:numId="44">
    <w:abstractNumId w:val="1"/>
  </w:num>
  <w:num w:numId="45">
    <w:abstractNumId w:val="43"/>
  </w:num>
  <w:num w:numId="46">
    <w:abstractNumId w:val="29"/>
  </w:num>
  <w:num w:numId="47">
    <w:abstractNumId w:val="9"/>
  </w:num>
  <w:num w:numId="48">
    <w:abstractNumId w:val="22"/>
  </w:num>
  <w:num w:numId="49">
    <w:abstractNumId w:val="21"/>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style="mso-position-horizontal-relative:margin;mso-position-vertical-relative:page;mso-width-relative:margin;mso-height-relative:margin;v-text-anchor:middle" o:allowincell="f" fillcolor="white">
      <v:fill color="white"/>
      <v:stroke weight="2pt"/>
      <v:shadow color="#868686"/>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E"/>
    <w:rsid w:val="000000BD"/>
    <w:rsid w:val="00000BA3"/>
    <w:rsid w:val="0000302D"/>
    <w:rsid w:val="00003210"/>
    <w:rsid w:val="00003379"/>
    <w:rsid w:val="0000384C"/>
    <w:rsid w:val="00003B8E"/>
    <w:rsid w:val="000049F6"/>
    <w:rsid w:val="0000540D"/>
    <w:rsid w:val="00007370"/>
    <w:rsid w:val="00007B96"/>
    <w:rsid w:val="00007BBF"/>
    <w:rsid w:val="000106BE"/>
    <w:rsid w:val="00010AE5"/>
    <w:rsid w:val="00010D70"/>
    <w:rsid w:val="00010E74"/>
    <w:rsid w:val="00010EEC"/>
    <w:rsid w:val="0001145D"/>
    <w:rsid w:val="00011E3D"/>
    <w:rsid w:val="000121CF"/>
    <w:rsid w:val="000122C2"/>
    <w:rsid w:val="000122CD"/>
    <w:rsid w:val="00012381"/>
    <w:rsid w:val="0001248B"/>
    <w:rsid w:val="00012E87"/>
    <w:rsid w:val="000134E9"/>
    <w:rsid w:val="0001370D"/>
    <w:rsid w:val="00013C12"/>
    <w:rsid w:val="00014C51"/>
    <w:rsid w:val="000156E1"/>
    <w:rsid w:val="00015DC9"/>
    <w:rsid w:val="0001612E"/>
    <w:rsid w:val="0001639D"/>
    <w:rsid w:val="00017ADC"/>
    <w:rsid w:val="000202AA"/>
    <w:rsid w:val="000203A8"/>
    <w:rsid w:val="000204C6"/>
    <w:rsid w:val="000207C4"/>
    <w:rsid w:val="00021076"/>
    <w:rsid w:val="000226DE"/>
    <w:rsid w:val="00022F48"/>
    <w:rsid w:val="00022F82"/>
    <w:rsid w:val="00024075"/>
    <w:rsid w:val="000242B2"/>
    <w:rsid w:val="000242D4"/>
    <w:rsid w:val="000253DE"/>
    <w:rsid w:val="00025538"/>
    <w:rsid w:val="0002619F"/>
    <w:rsid w:val="0002622E"/>
    <w:rsid w:val="00026411"/>
    <w:rsid w:val="00026491"/>
    <w:rsid w:val="00026A83"/>
    <w:rsid w:val="00027985"/>
    <w:rsid w:val="00027D92"/>
    <w:rsid w:val="000306FE"/>
    <w:rsid w:val="00031159"/>
    <w:rsid w:val="000317D0"/>
    <w:rsid w:val="00031E5D"/>
    <w:rsid w:val="00031EB6"/>
    <w:rsid w:val="0003207F"/>
    <w:rsid w:val="000328AE"/>
    <w:rsid w:val="000337F0"/>
    <w:rsid w:val="000339C0"/>
    <w:rsid w:val="00034DE5"/>
    <w:rsid w:val="00035EC7"/>
    <w:rsid w:val="00036227"/>
    <w:rsid w:val="00036266"/>
    <w:rsid w:val="000365B2"/>
    <w:rsid w:val="00036940"/>
    <w:rsid w:val="00036A41"/>
    <w:rsid w:val="00037C1F"/>
    <w:rsid w:val="00037FFA"/>
    <w:rsid w:val="0004187B"/>
    <w:rsid w:val="00042281"/>
    <w:rsid w:val="0004261F"/>
    <w:rsid w:val="00042BAF"/>
    <w:rsid w:val="00043E6B"/>
    <w:rsid w:val="00043F36"/>
    <w:rsid w:val="000440AC"/>
    <w:rsid w:val="00045DCB"/>
    <w:rsid w:val="00046084"/>
    <w:rsid w:val="000460B1"/>
    <w:rsid w:val="00046583"/>
    <w:rsid w:val="000467ED"/>
    <w:rsid w:val="00046B87"/>
    <w:rsid w:val="00047846"/>
    <w:rsid w:val="0004791B"/>
    <w:rsid w:val="0004792C"/>
    <w:rsid w:val="000500C7"/>
    <w:rsid w:val="00050599"/>
    <w:rsid w:val="00051642"/>
    <w:rsid w:val="00051B40"/>
    <w:rsid w:val="00052CC1"/>
    <w:rsid w:val="00052E0A"/>
    <w:rsid w:val="000545DF"/>
    <w:rsid w:val="00054819"/>
    <w:rsid w:val="000550ED"/>
    <w:rsid w:val="000567D4"/>
    <w:rsid w:val="00056930"/>
    <w:rsid w:val="000569F1"/>
    <w:rsid w:val="00056C25"/>
    <w:rsid w:val="00056F90"/>
    <w:rsid w:val="00057153"/>
    <w:rsid w:val="000605B1"/>
    <w:rsid w:val="000606D6"/>
    <w:rsid w:val="00060B2C"/>
    <w:rsid w:val="00060EBD"/>
    <w:rsid w:val="000610D9"/>
    <w:rsid w:val="00061D02"/>
    <w:rsid w:val="0006311C"/>
    <w:rsid w:val="00063AAB"/>
    <w:rsid w:val="00063D36"/>
    <w:rsid w:val="00063F29"/>
    <w:rsid w:val="00063F46"/>
    <w:rsid w:val="0006457D"/>
    <w:rsid w:val="00066686"/>
    <w:rsid w:val="00067155"/>
    <w:rsid w:val="00067CE1"/>
    <w:rsid w:val="0007019E"/>
    <w:rsid w:val="000710E7"/>
    <w:rsid w:val="000719E4"/>
    <w:rsid w:val="0007236A"/>
    <w:rsid w:val="00072F16"/>
    <w:rsid w:val="000744A3"/>
    <w:rsid w:val="000750EF"/>
    <w:rsid w:val="0007541C"/>
    <w:rsid w:val="0007587A"/>
    <w:rsid w:val="00075914"/>
    <w:rsid w:val="00076310"/>
    <w:rsid w:val="00076511"/>
    <w:rsid w:val="0007664E"/>
    <w:rsid w:val="00076B70"/>
    <w:rsid w:val="00077615"/>
    <w:rsid w:val="00077B4B"/>
    <w:rsid w:val="0008089A"/>
    <w:rsid w:val="00080D92"/>
    <w:rsid w:val="0008112D"/>
    <w:rsid w:val="000817AC"/>
    <w:rsid w:val="00081D0E"/>
    <w:rsid w:val="00082051"/>
    <w:rsid w:val="00083350"/>
    <w:rsid w:val="0008339B"/>
    <w:rsid w:val="0008418B"/>
    <w:rsid w:val="00084D70"/>
    <w:rsid w:val="000850E6"/>
    <w:rsid w:val="00085364"/>
    <w:rsid w:val="000860C2"/>
    <w:rsid w:val="00086413"/>
    <w:rsid w:val="0008712E"/>
    <w:rsid w:val="000900F3"/>
    <w:rsid w:val="00090183"/>
    <w:rsid w:val="0009073B"/>
    <w:rsid w:val="000908CD"/>
    <w:rsid w:val="00090D19"/>
    <w:rsid w:val="000913DA"/>
    <w:rsid w:val="0009271F"/>
    <w:rsid w:val="000927CD"/>
    <w:rsid w:val="000936E4"/>
    <w:rsid w:val="00093FBE"/>
    <w:rsid w:val="00094436"/>
    <w:rsid w:val="000954E2"/>
    <w:rsid w:val="000956F4"/>
    <w:rsid w:val="00096884"/>
    <w:rsid w:val="000972EB"/>
    <w:rsid w:val="000977AD"/>
    <w:rsid w:val="000977E4"/>
    <w:rsid w:val="00097EE8"/>
    <w:rsid w:val="000A017E"/>
    <w:rsid w:val="000A0A60"/>
    <w:rsid w:val="000A0D0F"/>
    <w:rsid w:val="000A1544"/>
    <w:rsid w:val="000A1561"/>
    <w:rsid w:val="000A1898"/>
    <w:rsid w:val="000A1B38"/>
    <w:rsid w:val="000A1B70"/>
    <w:rsid w:val="000A1D3E"/>
    <w:rsid w:val="000A1FCD"/>
    <w:rsid w:val="000A22F2"/>
    <w:rsid w:val="000A3E6C"/>
    <w:rsid w:val="000A4770"/>
    <w:rsid w:val="000A481D"/>
    <w:rsid w:val="000A4EB1"/>
    <w:rsid w:val="000A4F49"/>
    <w:rsid w:val="000A6C31"/>
    <w:rsid w:val="000A79CC"/>
    <w:rsid w:val="000B0144"/>
    <w:rsid w:val="000B0B15"/>
    <w:rsid w:val="000B130C"/>
    <w:rsid w:val="000B1E37"/>
    <w:rsid w:val="000B209F"/>
    <w:rsid w:val="000B21D4"/>
    <w:rsid w:val="000B2795"/>
    <w:rsid w:val="000B3827"/>
    <w:rsid w:val="000B4567"/>
    <w:rsid w:val="000B51C0"/>
    <w:rsid w:val="000B52D2"/>
    <w:rsid w:val="000B5553"/>
    <w:rsid w:val="000B5E62"/>
    <w:rsid w:val="000B5F93"/>
    <w:rsid w:val="000B68B7"/>
    <w:rsid w:val="000B68E6"/>
    <w:rsid w:val="000B6FD2"/>
    <w:rsid w:val="000B78B4"/>
    <w:rsid w:val="000C00C9"/>
    <w:rsid w:val="000C0B3E"/>
    <w:rsid w:val="000C0EC9"/>
    <w:rsid w:val="000C1348"/>
    <w:rsid w:val="000C1951"/>
    <w:rsid w:val="000C2963"/>
    <w:rsid w:val="000C311E"/>
    <w:rsid w:val="000C3E8E"/>
    <w:rsid w:val="000C4134"/>
    <w:rsid w:val="000C432A"/>
    <w:rsid w:val="000C4821"/>
    <w:rsid w:val="000C4CA3"/>
    <w:rsid w:val="000C4DC6"/>
    <w:rsid w:val="000C5016"/>
    <w:rsid w:val="000C53D2"/>
    <w:rsid w:val="000C5D64"/>
    <w:rsid w:val="000C6100"/>
    <w:rsid w:val="000C61C0"/>
    <w:rsid w:val="000C73C5"/>
    <w:rsid w:val="000C7EC5"/>
    <w:rsid w:val="000D08AB"/>
    <w:rsid w:val="000D188C"/>
    <w:rsid w:val="000D2275"/>
    <w:rsid w:val="000D2971"/>
    <w:rsid w:val="000D29CA"/>
    <w:rsid w:val="000D2B95"/>
    <w:rsid w:val="000D2E88"/>
    <w:rsid w:val="000D33C7"/>
    <w:rsid w:val="000D4B74"/>
    <w:rsid w:val="000D4FFD"/>
    <w:rsid w:val="000D50BA"/>
    <w:rsid w:val="000D5852"/>
    <w:rsid w:val="000D6859"/>
    <w:rsid w:val="000D6F3C"/>
    <w:rsid w:val="000D78DC"/>
    <w:rsid w:val="000D79C7"/>
    <w:rsid w:val="000D7C98"/>
    <w:rsid w:val="000E0005"/>
    <w:rsid w:val="000E13C7"/>
    <w:rsid w:val="000E158D"/>
    <w:rsid w:val="000E1EA4"/>
    <w:rsid w:val="000E2106"/>
    <w:rsid w:val="000E2144"/>
    <w:rsid w:val="000E2204"/>
    <w:rsid w:val="000E252A"/>
    <w:rsid w:val="000E3510"/>
    <w:rsid w:val="000E381B"/>
    <w:rsid w:val="000E3A8A"/>
    <w:rsid w:val="000E3ADA"/>
    <w:rsid w:val="000E3DBC"/>
    <w:rsid w:val="000E4672"/>
    <w:rsid w:val="000E5657"/>
    <w:rsid w:val="000E57D0"/>
    <w:rsid w:val="000E611C"/>
    <w:rsid w:val="000E6430"/>
    <w:rsid w:val="000E7239"/>
    <w:rsid w:val="000E73E0"/>
    <w:rsid w:val="000E75DE"/>
    <w:rsid w:val="000E7D7B"/>
    <w:rsid w:val="000F0234"/>
    <w:rsid w:val="000F07FC"/>
    <w:rsid w:val="000F0C14"/>
    <w:rsid w:val="000F2707"/>
    <w:rsid w:val="000F2B3F"/>
    <w:rsid w:val="000F3003"/>
    <w:rsid w:val="000F31B5"/>
    <w:rsid w:val="000F3B21"/>
    <w:rsid w:val="000F41AD"/>
    <w:rsid w:val="000F4677"/>
    <w:rsid w:val="000F478F"/>
    <w:rsid w:val="000F5A4D"/>
    <w:rsid w:val="000F5B8E"/>
    <w:rsid w:val="000F5CA5"/>
    <w:rsid w:val="000F67E8"/>
    <w:rsid w:val="000F6EE3"/>
    <w:rsid w:val="000F70A4"/>
    <w:rsid w:val="000F7774"/>
    <w:rsid w:val="00100292"/>
    <w:rsid w:val="001008C6"/>
    <w:rsid w:val="0010091B"/>
    <w:rsid w:val="00100BB3"/>
    <w:rsid w:val="00100EB5"/>
    <w:rsid w:val="00100F06"/>
    <w:rsid w:val="001014B5"/>
    <w:rsid w:val="00101705"/>
    <w:rsid w:val="001017FD"/>
    <w:rsid w:val="001018AB"/>
    <w:rsid w:val="00102329"/>
    <w:rsid w:val="00102B93"/>
    <w:rsid w:val="00103490"/>
    <w:rsid w:val="001034EA"/>
    <w:rsid w:val="001047DE"/>
    <w:rsid w:val="00104815"/>
    <w:rsid w:val="00104A68"/>
    <w:rsid w:val="00105B9D"/>
    <w:rsid w:val="00105BC9"/>
    <w:rsid w:val="00105BF9"/>
    <w:rsid w:val="00106534"/>
    <w:rsid w:val="00106FAB"/>
    <w:rsid w:val="001074C7"/>
    <w:rsid w:val="00107601"/>
    <w:rsid w:val="001101BA"/>
    <w:rsid w:val="00110AC2"/>
    <w:rsid w:val="00110C69"/>
    <w:rsid w:val="001111AD"/>
    <w:rsid w:val="0011120D"/>
    <w:rsid w:val="0011138E"/>
    <w:rsid w:val="00111C15"/>
    <w:rsid w:val="0011283E"/>
    <w:rsid w:val="00112E02"/>
    <w:rsid w:val="00112E4E"/>
    <w:rsid w:val="00113CAB"/>
    <w:rsid w:val="00114411"/>
    <w:rsid w:val="00116BA4"/>
    <w:rsid w:val="0011739F"/>
    <w:rsid w:val="00117510"/>
    <w:rsid w:val="001176D4"/>
    <w:rsid w:val="001205D2"/>
    <w:rsid w:val="001212B1"/>
    <w:rsid w:val="00122293"/>
    <w:rsid w:val="00122DCA"/>
    <w:rsid w:val="001230C9"/>
    <w:rsid w:val="001232C4"/>
    <w:rsid w:val="00123348"/>
    <w:rsid w:val="00123B99"/>
    <w:rsid w:val="0012502F"/>
    <w:rsid w:val="001251FC"/>
    <w:rsid w:val="00125319"/>
    <w:rsid w:val="001253D5"/>
    <w:rsid w:val="0012574A"/>
    <w:rsid w:val="00125DA8"/>
    <w:rsid w:val="001264B5"/>
    <w:rsid w:val="0012668B"/>
    <w:rsid w:val="00126AF1"/>
    <w:rsid w:val="00126EC3"/>
    <w:rsid w:val="001270D3"/>
    <w:rsid w:val="001278A8"/>
    <w:rsid w:val="0013095C"/>
    <w:rsid w:val="0013098D"/>
    <w:rsid w:val="001322F9"/>
    <w:rsid w:val="00132B92"/>
    <w:rsid w:val="00132CCF"/>
    <w:rsid w:val="001337DE"/>
    <w:rsid w:val="00133B31"/>
    <w:rsid w:val="001343A6"/>
    <w:rsid w:val="001345C2"/>
    <w:rsid w:val="00134897"/>
    <w:rsid w:val="00134CAA"/>
    <w:rsid w:val="00135413"/>
    <w:rsid w:val="00135C45"/>
    <w:rsid w:val="001360EA"/>
    <w:rsid w:val="001362A3"/>
    <w:rsid w:val="00136363"/>
    <w:rsid w:val="00136BD4"/>
    <w:rsid w:val="00136D12"/>
    <w:rsid w:val="001379B6"/>
    <w:rsid w:val="00137B5B"/>
    <w:rsid w:val="00137D2F"/>
    <w:rsid w:val="001400D4"/>
    <w:rsid w:val="00140654"/>
    <w:rsid w:val="00140A0F"/>
    <w:rsid w:val="00141AC8"/>
    <w:rsid w:val="0014215D"/>
    <w:rsid w:val="00142168"/>
    <w:rsid w:val="00143119"/>
    <w:rsid w:val="00143BAB"/>
    <w:rsid w:val="00144D54"/>
    <w:rsid w:val="00145307"/>
    <w:rsid w:val="0014572C"/>
    <w:rsid w:val="00145CA7"/>
    <w:rsid w:val="00146FC1"/>
    <w:rsid w:val="0014740B"/>
    <w:rsid w:val="0014756E"/>
    <w:rsid w:val="001478CC"/>
    <w:rsid w:val="00150254"/>
    <w:rsid w:val="00150684"/>
    <w:rsid w:val="001507B1"/>
    <w:rsid w:val="00151441"/>
    <w:rsid w:val="001515DB"/>
    <w:rsid w:val="0015279A"/>
    <w:rsid w:val="001534B4"/>
    <w:rsid w:val="00153C06"/>
    <w:rsid w:val="00153E72"/>
    <w:rsid w:val="001547D2"/>
    <w:rsid w:val="00154EA0"/>
    <w:rsid w:val="00155094"/>
    <w:rsid w:val="00155502"/>
    <w:rsid w:val="00155C90"/>
    <w:rsid w:val="00155DEE"/>
    <w:rsid w:val="00156545"/>
    <w:rsid w:val="00157476"/>
    <w:rsid w:val="001577F2"/>
    <w:rsid w:val="00157CCD"/>
    <w:rsid w:val="00160678"/>
    <w:rsid w:val="00160837"/>
    <w:rsid w:val="00160C03"/>
    <w:rsid w:val="00161DB8"/>
    <w:rsid w:val="00162153"/>
    <w:rsid w:val="001623B9"/>
    <w:rsid w:val="0016356E"/>
    <w:rsid w:val="00163B6C"/>
    <w:rsid w:val="00163EAD"/>
    <w:rsid w:val="00163F6D"/>
    <w:rsid w:val="00164743"/>
    <w:rsid w:val="001649AC"/>
    <w:rsid w:val="00165D5E"/>
    <w:rsid w:val="0016687D"/>
    <w:rsid w:val="00167214"/>
    <w:rsid w:val="00171B0D"/>
    <w:rsid w:val="00173042"/>
    <w:rsid w:val="00173C6F"/>
    <w:rsid w:val="00173F78"/>
    <w:rsid w:val="00173FF0"/>
    <w:rsid w:val="001740D4"/>
    <w:rsid w:val="001757BE"/>
    <w:rsid w:val="00176344"/>
    <w:rsid w:val="00176390"/>
    <w:rsid w:val="00176516"/>
    <w:rsid w:val="00176C02"/>
    <w:rsid w:val="001772E2"/>
    <w:rsid w:val="0017769E"/>
    <w:rsid w:val="00177D54"/>
    <w:rsid w:val="001800FB"/>
    <w:rsid w:val="00180252"/>
    <w:rsid w:val="001812B1"/>
    <w:rsid w:val="00181EAA"/>
    <w:rsid w:val="00182A1C"/>
    <w:rsid w:val="00183063"/>
    <w:rsid w:val="001830ED"/>
    <w:rsid w:val="00183151"/>
    <w:rsid w:val="00183EB5"/>
    <w:rsid w:val="001843B3"/>
    <w:rsid w:val="001864E3"/>
    <w:rsid w:val="001872E3"/>
    <w:rsid w:val="001874A4"/>
    <w:rsid w:val="001879E5"/>
    <w:rsid w:val="00187ED1"/>
    <w:rsid w:val="001900B4"/>
    <w:rsid w:val="001901F9"/>
    <w:rsid w:val="00191C0C"/>
    <w:rsid w:val="00192294"/>
    <w:rsid w:val="001924C1"/>
    <w:rsid w:val="0019253E"/>
    <w:rsid w:val="00192669"/>
    <w:rsid w:val="00192E86"/>
    <w:rsid w:val="00193077"/>
    <w:rsid w:val="001931C2"/>
    <w:rsid w:val="0019343F"/>
    <w:rsid w:val="00193529"/>
    <w:rsid w:val="00193D77"/>
    <w:rsid w:val="0019442A"/>
    <w:rsid w:val="001965E0"/>
    <w:rsid w:val="00196A63"/>
    <w:rsid w:val="001A08AB"/>
    <w:rsid w:val="001A1F30"/>
    <w:rsid w:val="001A2157"/>
    <w:rsid w:val="001A3093"/>
    <w:rsid w:val="001A3159"/>
    <w:rsid w:val="001A3619"/>
    <w:rsid w:val="001A434D"/>
    <w:rsid w:val="001A54E8"/>
    <w:rsid w:val="001A5CCD"/>
    <w:rsid w:val="001A616C"/>
    <w:rsid w:val="001A6C21"/>
    <w:rsid w:val="001A6D76"/>
    <w:rsid w:val="001A7344"/>
    <w:rsid w:val="001A77EC"/>
    <w:rsid w:val="001A7DD2"/>
    <w:rsid w:val="001A7FEF"/>
    <w:rsid w:val="001B0353"/>
    <w:rsid w:val="001B1104"/>
    <w:rsid w:val="001B1429"/>
    <w:rsid w:val="001B1657"/>
    <w:rsid w:val="001B1A49"/>
    <w:rsid w:val="001B264E"/>
    <w:rsid w:val="001B2921"/>
    <w:rsid w:val="001B2A22"/>
    <w:rsid w:val="001B2D5C"/>
    <w:rsid w:val="001B309C"/>
    <w:rsid w:val="001B3160"/>
    <w:rsid w:val="001B37B5"/>
    <w:rsid w:val="001B3838"/>
    <w:rsid w:val="001B3C47"/>
    <w:rsid w:val="001B44F0"/>
    <w:rsid w:val="001B63A9"/>
    <w:rsid w:val="001B74EF"/>
    <w:rsid w:val="001C04AD"/>
    <w:rsid w:val="001C062A"/>
    <w:rsid w:val="001C0FCC"/>
    <w:rsid w:val="001C1AD6"/>
    <w:rsid w:val="001C1AE3"/>
    <w:rsid w:val="001C2E93"/>
    <w:rsid w:val="001C304A"/>
    <w:rsid w:val="001C3533"/>
    <w:rsid w:val="001C3B04"/>
    <w:rsid w:val="001C41F8"/>
    <w:rsid w:val="001C4482"/>
    <w:rsid w:val="001C4E9D"/>
    <w:rsid w:val="001C4FDF"/>
    <w:rsid w:val="001C5B9B"/>
    <w:rsid w:val="001C5FF6"/>
    <w:rsid w:val="001C6B87"/>
    <w:rsid w:val="001C6F67"/>
    <w:rsid w:val="001C7445"/>
    <w:rsid w:val="001C75A7"/>
    <w:rsid w:val="001C7704"/>
    <w:rsid w:val="001C7C0B"/>
    <w:rsid w:val="001C7F6A"/>
    <w:rsid w:val="001D08F7"/>
    <w:rsid w:val="001D0D7F"/>
    <w:rsid w:val="001D11FA"/>
    <w:rsid w:val="001D12A5"/>
    <w:rsid w:val="001D23F4"/>
    <w:rsid w:val="001D342C"/>
    <w:rsid w:val="001D4723"/>
    <w:rsid w:val="001D4B55"/>
    <w:rsid w:val="001D5184"/>
    <w:rsid w:val="001D54B3"/>
    <w:rsid w:val="001D59D3"/>
    <w:rsid w:val="001D5C29"/>
    <w:rsid w:val="001D655F"/>
    <w:rsid w:val="001D702F"/>
    <w:rsid w:val="001D7375"/>
    <w:rsid w:val="001D7737"/>
    <w:rsid w:val="001D782C"/>
    <w:rsid w:val="001D7C8F"/>
    <w:rsid w:val="001D7F5E"/>
    <w:rsid w:val="001E0128"/>
    <w:rsid w:val="001E06F3"/>
    <w:rsid w:val="001E1CA0"/>
    <w:rsid w:val="001E260A"/>
    <w:rsid w:val="001E2D21"/>
    <w:rsid w:val="001E3266"/>
    <w:rsid w:val="001E331F"/>
    <w:rsid w:val="001E4606"/>
    <w:rsid w:val="001E4780"/>
    <w:rsid w:val="001E49AA"/>
    <w:rsid w:val="001E51EF"/>
    <w:rsid w:val="001E5318"/>
    <w:rsid w:val="001E5417"/>
    <w:rsid w:val="001E6F37"/>
    <w:rsid w:val="001E7271"/>
    <w:rsid w:val="001E7745"/>
    <w:rsid w:val="001E7C2F"/>
    <w:rsid w:val="001F0F9F"/>
    <w:rsid w:val="001F203F"/>
    <w:rsid w:val="001F20C4"/>
    <w:rsid w:val="001F393E"/>
    <w:rsid w:val="001F3C54"/>
    <w:rsid w:val="001F498C"/>
    <w:rsid w:val="001F56C1"/>
    <w:rsid w:val="001F59D3"/>
    <w:rsid w:val="001F5A46"/>
    <w:rsid w:val="001F60FB"/>
    <w:rsid w:val="001F7D83"/>
    <w:rsid w:val="001F7E4A"/>
    <w:rsid w:val="001F7F73"/>
    <w:rsid w:val="001F7FA9"/>
    <w:rsid w:val="002008E5"/>
    <w:rsid w:val="00200D57"/>
    <w:rsid w:val="0020110D"/>
    <w:rsid w:val="00201142"/>
    <w:rsid w:val="002018E1"/>
    <w:rsid w:val="002023F1"/>
    <w:rsid w:val="002026C0"/>
    <w:rsid w:val="00202F45"/>
    <w:rsid w:val="0020338B"/>
    <w:rsid w:val="00203B19"/>
    <w:rsid w:val="00204E46"/>
    <w:rsid w:val="00205BBF"/>
    <w:rsid w:val="00205F2B"/>
    <w:rsid w:val="00206D99"/>
    <w:rsid w:val="00206E7F"/>
    <w:rsid w:val="00207A04"/>
    <w:rsid w:val="0021032A"/>
    <w:rsid w:val="00211117"/>
    <w:rsid w:val="002114A4"/>
    <w:rsid w:val="0021174D"/>
    <w:rsid w:val="00211831"/>
    <w:rsid w:val="00211F16"/>
    <w:rsid w:val="00212153"/>
    <w:rsid w:val="002123C7"/>
    <w:rsid w:val="00212F82"/>
    <w:rsid w:val="00213847"/>
    <w:rsid w:val="00213AA0"/>
    <w:rsid w:val="00213FD1"/>
    <w:rsid w:val="00215614"/>
    <w:rsid w:val="00215AD1"/>
    <w:rsid w:val="00216162"/>
    <w:rsid w:val="0021618A"/>
    <w:rsid w:val="00216B27"/>
    <w:rsid w:val="00216E82"/>
    <w:rsid w:val="00216EBC"/>
    <w:rsid w:val="002171EE"/>
    <w:rsid w:val="00217823"/>
    <w:rsid w:val="00217A01"/>
    <w:rsid w:val="00217FE2"/>
    <w:rsid w:val="002204E9"/>
    <w:rsid w:val="0022053E"/>
    <w:rsid w:val="002209E7"/>
    <w:rsid w:val="00220DE8"/>
    <w:rsid w:val="00221565"/>
    <w:rsid w:val="00221980"/>
    <w:rsid w:val="00222BCE"/>
    <w:rsid w:val="002231D2"/>
    <w:rsid w:val="00223751"/>
    <w:rsid w:val="00223944"/>
    <w:rsid w:val="0022478C"/>
    <w:rsid w:val="00225F0D"/>
    <w:rsid w:val="002272E4"/>
    <w:rsid w:val="00230B03"/>
    <w:rsid w:val="002318CE"/>
    <w:rsid w:val="00232009"/>
    <w:rsid w:val="00232946"/>
    <w:rsid w:val="002330A3"/>
    <w:rsid w:val="0023348D"/>
    <w:rsid w:val="00235F66"/>
    <w:rsid w:val="00236EBB"/>
    <w:rsid w:val="0023796B"/>
    <w:rsid w:val="002404D0"/>
    <w:rsid w:val="00240870"/>
    <w:rsid w:val="00241DB0"/>
    <w:rsid w:val="00242B5E"/>
    <w:rsid w:val="00242C5F"/>
    <w:rsid w:val="00242C96"/>
    <w:rsid w:val="00243C00"/>
    <w:rsid w:val="00243C0F"/>
    <w:rsid w:val="00243C19"/>
    <w:rsid w:val="00244068"/>
    <w:rsid w:val="00244309"/>
    <w:rsid w:val="00244741"/>
    <w:rsid w:val="002453D9"/>
    <w:rsid w:val="00245456"/>
    <w:rsid w:val="002456A0"/>
    <w:rsid w:val="00245EC2"/>
    <w:rsid w:val="002462C9"/>
    <w:rsid w:val="0024654D"/>
    <w:rsid w:val="00246A92"/>
    <w:rsid w:val="00246D62"/>
    <w:rsid w:val="00247050"/>
    <w:rsid w:val="0025042B"/>
    <w:rsid w:val="002506EC"/>
    <w:rsid w:val="0025099A"/>
    <w:rsid w:val="00250E9A"/>
    <w:rsid w:val="00252311"/>
    <w:rsid w:val="00253CE0"/>
    <w:rsid w:val="0025471E"/>
    <w:rsid w:val="0025496D"/>
    <w:rsid w:val="00254BF9"/>
    <w:rsid w:val="00255243"/>
    <w:rsid w:val="002558B9"/>
    <w:rsid w:val="00255A66"/>
    <w:rsid w:val="0025685C"/>
    <w:rsid w:val="00256F2B"/>
    <w:rsid w:val="00256FED"/>
    <w:rsid w:val="00257E78"/>
    <w:rsid w:val="0026021A"/>
    <w:rsid w:val="002603BB"/>
    <w:rsid w:val="00260D10"/>
    <w:rsid w:val="00260F40"/>
    <w:rsid w:val="0026154D"/>
    <w:rsid w:val="00261655"/>
    <w:rsid w:val="002619FD"/>
    <w:rsid w:val="00261A4B"/>
    <w:rsid w:val="00262379"/>
    <w:rsid w:val="00262866"/>
    <w:rsid w:val="002628F6"/>
    <w:rsid w:val="00262B15"/>
    <w:rsid w:val="00262CA1"/>
    <w:rsid w:val="0026358B"/>
    <w:rsid w:val="00263B80"/>
    <w:rsid w:val="00263F7C"/>
    <w:rsid w:val="002655CE"/>
    <w:rsid w:val="00266DF2"/>
    <w:rsid w:val="00266FAE"/>
    <w:rsid w:val="002672C9"/>
    <w:rsid w:val="00267359"/>
    <w:rsid w:val="00267E71"/>
    <w:rsid w:val="00270328"/>
    <w:rsid w:val="00270456"/>
    <w:rsid w:val="00271029"/>
    <w:rsid w:val="0027207F"/>
    <w:rsid w:val="00273EB4"/>
    <w:rsid w:val="0027430C"/>
    <w:rsid w:val="00275509"/>
    <w:rsid w:val="00275750"/>
    <w:rsid w:val="002760F8"/>
    <w:rsid w:val="002762F2"/>
    <w:rsid w:val="002771DA"/>
    <w:rsid w:val="002776B1"/>
    <w:rsid w:val="002801CB"/>
    <w:rsid w:val="00280BE8"/>
    <w:rsid w:val="00280FE8"/>
    <w:rsid w:val="00281537"/>
    <w:rsid w:val="00281F37"/>
    <w:rsid w:val="00282FE4"/>
    <w:rsid w:val="002830FE"/>
    <w:rsid w:val="00283BAB"/>
    <w:rsid w:val="002843DD"/>
    <w:rsid w:val="00284757"/>
    <w:rsid w:val="00284BEA"/>
    <w:rsid w:val="00285141"/>
    <w:rsid w:val="0028568F"/>
    <w:rsid w:val="0028581D"/>
    <w:rsid w:val="002859CD"/>
    <w:rsid w:val="00285F9F"/>
    <w:rsid w:val="002860F3"/>
    <w:rsid w:val="00286A5A"/>
    <w:rsid w:val="00286E83"/>
    <w:rsid w:val="002871D4"/>
    <w:rsid w:val="00290245"/>
    <w:rsid w:val="00290EEC"/>
    <w:rsid w:val="002910BB"/>
    <w:rsid w:val="0029119C"/>
    <w:rsid w:val="002914F9"/>
    <w:rsid w:val="00291649"/>
    <w:rsid w:val="00291681"/>
    <w:rsid w:val="00292890"/>
    <w:rsid w:val="00292F1E"/>
    <w:rsid w:val="00293C34"/>
    <w:rsid w:val="00294393"/>
    <w:rsid w:val="00296263"/>
    <w:rsid w:val="002970C5"/>
    <w:rsid w:val="002A035D"/>
    <w:rsid w:val="002A08A1"/>
    <w:rsid w:val="002A1445"/>
    <w:rsid w:val="002A155C"/>
    <w:rsid w:val="002A1DC2"/>
    <w:rsid w:val="002A2063"/>
    <w:rsid w:val="002A25A3"/>
    <w:rsid w:val="002A32FA"/>
    <w:rsid w:val="002A3621"/>
    <w:rsid w:val="002A419F"/>
    <w:rsid w:val="002A4F91"/>
    <w:rsid w:val="002A50F8"/>
    <w:rsid w:val="002A595B"/>
    <w:rsid w:val="002A5A6B"/>
    <w:rsid w:val="002A5BFF"/>
    <w:rsid w:val="002A60CC"/>
    <w:rsid w:val="002A62CB"/>
    <w:rsid w:val="002A7635"/>
    <w:rsid w:val="002A7FC8"/>
    <w:rsid w:val="002A7FCC"/>
    <w:rsid w:val="002B0DDB"/>
    <w:rsid w:val="002B1480"/>
    <w:rsid w:val="002B1CD9"/>
    <w:rsid w:val="002B2163"/>
    <w:rsid w:val="002B280D"/>
    <w:rsid w:val="002B294E"/>
    <w:rsid w:val="002B2EAE"/>
    <w:rsid w:val="002B32F5"/>
    <w:rsid w:val="002B4626"/>
    <w:rsid w:val="002B53F5"/>
    <w:rsid w:val="002B5A09"/>
    <w:rsid w:val="002B5C1B"/>
    <w:rsid w:val="002B68A3"/>
    <w:rsid w:val="002B696E"/>
    <w:rsid w:val="002B6BC5"/>
    <w:rsid w:val="002B7029"/>
    <w:rsid w:val="002B71EA"/>
    <w:rsid w:val="002B7409"/>
    <w:rsid w:val="002C0D4C"/>
    <w:rsid w:val="002C32B5"/>
    <w:rsid w:val="002C3433"/>
    <w:rsid w:val="002C446C"/>
    <w:rsid w:val="002C46DB"/>
    <w:rsid w:val="002C4928"/>
    <w:rsid w:val="002C4D90"/>
    <w:rsid w:val="002C4F2C"/>
    <w:rsid w:val="002C5E6B"/>
    <w:rsid w:val="002C628D"/>
    <w:rsid w:val="002C6573"/>
    <w:rsid w:val="002C6C13"/>
    <w:rsid w:val="002C7D9F"/>
    <w:rsid w:val="002D02D5"/>
    <w:rsid w:val="002D12AE"/>
    <w:rsid w:val="002D16B0"/>
    <w:rsid w:val="002D1F7E"/>
    <w:rsid w:val="002D24F8"/>
    <w:rsid w:val="002D26CF"/>
    <w:rsid w:val="002D333B"/>
    <w:rsid w:val="002D3484"/>
    <w:rsid w:val="002D3674"/>
    <w:rsid w:val="002D3DD6"/>
    <w:rsid w:val="002D41CC"/>
    <w:rsid w:val="002D4B42"/>
    <w:rsid w:val="002D5450"/>
    <w:rsid w:val="002D5671"/>
    <w:rsid w:val="002D5CB5"/>
    <w:rsid w:val="002D5CFE"/>
    <w:rsid w:val="002D60A8"/>
    <w:rsid w:val="002D659A"/>
    <w:rsid w:val="002D6A05"/>
    <w:rsid w:val="002D6B1E"/>
    <w:rsid w:val="002D7AAA"/>
    <w:rsid w:val="002E04BE"/>
    <w:rsid w:val="002E1901"/>
    <w:rsid w:val="002E1A2F"/>
    <w:rsid w:val="002E1A5D"/>
    <w:rsid w:val="002E1DD3"/>
    <w:rsid w:val="002E2E3F"/>
    <w:rsid w:val="002E3EC4"/>
    <w:rsid w:val="002E46FB"/>
    <w:rsid w:val="002E5403"/>
    <w:rsid w:val="002E556B"/>
    <w:rsid w:val="002E58AC"/>
    <w:rsid w:val="002E5BCF"/>
    <w:rsid w:val="002E66FC"/>
    <w:rsid w:val="002E69BA"/>
    <w:rsid w:val="002E701D"/>
    <w:rsid w:val="002E798C"/>
    <w:rsid w:val="002E7E0E"/>
    <w:rsid w:val="002E7FD6"/>
    <w:rsid w:val="002F0D97"/>
    <w:rsid w:val="002F1ADE"/>
    <w:rsid w:val="002F1E67"/>
    <w:rsid w:val="002F349A"/>
    <w:rsid w:val="002F350C"/>
    <w:rsid w:val="002F3D2F"/>
    <w:rsid w:val="002F3F59"/>
    <w:rsid w:val="002F3FDF"/>
    <w:rsid w:val="002F4911"/>
    <w:rsid w:val="002F5917"/>
    <w:rsid w:val="002F65C0"/>
    <w:rsid w:val="002F6A76"/>
    <w:rsid w:val="002F734A"/>
    <w:rsid w:val="002F7916"/>
    <w:rsid w:val="002F7B0A"/>
    <w:rsid w:val="0030018F"/>
    <w:rsid w:val="0030030C"/>
    <w:rsid w:val="00300712"/>
    <w:rsid w:val="003016F8"/>
    <w:rsid w:val="00301B5A"/>
    <w:rsid w:val="00301C0F"/>
    <w:rsid w:val="00302112"/>
    <w:rsid w:val="003022A3"/>
    <w:rsid w:val="00304173"/>
    <w:rsid w:val="00304704"/>
    <w:rsid w:val="00304E03"/>
    <w:rsid w:val="00304F30"/>
    <w:rsid w:val="0030577D"/>
    <w:rsid w:val="00305B75"/>
    <w:rsid w:val="0030693F"/>
    <w:rsid w:val="00306ABD"/>
    <w:rsid w:val="00307411"/>
    <w:rsid w:val="00307BBA"/>
    <w:rsid w:val="00307DF1"/>
    <w:rsid w:val="00307EAA"/>
    <w:rsid w:val="00307FCC"/>
    <w:rsid w:val="003106F3"/>
    <w:rsid w:val="00310C1C"/>
    <w:rsid w:val="00310EE4"/>
    <w:rsid w:val="00311315"/>
    <w:rsid w:val="00311ED3"/>
    <w:rsid w:val="0031367F"/>
    <w:rsid w:val="0031369E"/>
    <w:rsid w:val="00313C08"/>
    <w:rsid w:val="00313C0D"/>
    <w:rsid w:val="00313CDA"/>
    <w:rsid w:val="00314232"/>
    <w:rsid w:val="00314580"/>
    <w:rsid w:val="00314AA8"/>
    <w:rsid w:val="00315711"/>
    <w:rsid w:val="0031619B"/>
    <w:rsid w:val="0031656F"/>
    <w:rsid w:val="003171B4"/>
    <w:rsid w:val="00317643"/>
    <w:rsid w:val="00317AC7"/>
    <w:rsid w:val="003211A6"/>
    <w:rsid w:val="003212F6"/>
    <w:rsid w:val="003216A1"/>
    <w:rsid w:val="00321FD4"/>
    <w:rsid w:val="003227DD"/>
    <w:rsid w:val="0032442F"/>
    <w:rsid w:val="0032482C"/>
    <w:rsid w:val="00324937"/>
    <w:rsid w:val="003255BD"/>
    <w:rsid w:val="003257F1"/>
    <w:rsid w:val="00325DD1"/>
    <w:rsid w:val="0032675D"/>
    <w:rsid w:val="00326789"/>
    <w:rsid w:val="00327A6E"/>
    <w:rsid w:val="00327B0D"/>
    <w:rsid w:val="00327C4C"/>
    <w:rsid w:val="00327FC4"/>
    <w:rsid w:val="003309AC"/>
    <w:rsid w:val="00330A1B"/>
    <w:rsid w:val="00331AF6"/>
    <w:rsid w:val="003327F2"/>
    <w:rsid w:val="00332894"/>
    <w:rsid w:val="003334C4"/>
    <w:rsid w:val="003335E9"/>
    <w:rsid w:val="00333E2A"/>
    <w:rsid w:val="003347F6"/>
    <w:rsid w:val="003352ED"/>
    <w:rsid w:val="00337376"/>
    <w:rsid w:val="003373A8"/>
    <w:rsid w:val="00337550"/>
    <w:rsid w:val="003407DE"/>
    <w:rsid w:val="003410A7"/>
    <w:rsid w:val="00342DF6"/>
    <w:rsid w:val="003443CA"/>
    <w:rsid w:val="0034440C"/>
    <w:rsid w:val="00344D60"/>
    <w:rsid w:val="00345D35"/>
    <w:rsid w:val="003463F1"/>
    <w:rsid w:val="003470AB"/>
    <w:rsid w:val="0034754B"/>
    <w:rsid w:val="0034782F"/>
    <w:rsid w:val="0035001E"/>
    <w:rsid w:val="00350766"/>
    <w:rsid w:val="00350EC0"/>
    <w:rsid w:val="0035103F"/>
    <w:rsid w:val="00351E0D"/>
    <w:rsid w:val="00352382"/>
    <w:rsid w:val="00352438"/>
    <w:rsid w:val="00352A71"/>
    <w:rsid w:val="0035301A"/>
    <w:rsid w:val="003531D0"/>
    <w:rsid w:val="003536A8"/>
    <w:rsid w:val="00353E33"/>
    <w:rsid w:val="00354845"/>
    <w:rsid w:val="00354854"/>
    <w:rsid w:val="00355B37"/>
    <w:rsid w:val="00355DE2"/>
    <w:rsid w:val="00355FCF"/>
    <w:rsid w:val="0035601A"/>
    <w:rsid w:val="0035628E"/>
    <w:rsid w:val="00357919"/>
    <w:rsid w:val="00360612"/>
    <w:rsid w:val="00360A3E"/>
    <w:rsid w:val="003617C3"/>
    <w:rsid w:val="003619AE"/>
    <w:rsid w:val="003619E5"/>
    <w:rsid w:val="00361C55"/>
    <w:rsid w:val="00361FC7"/>
    <w:rsid w:val="003625A1"/>
    <w:rsid w:val="003625B6"/>
    <w:rsid w:val="00362C70"/>
    <w:rsid w:val="00362CF2"/>
    <w:rsid w:val="003631FE"/>
    <w:rsid w:val="00363AD3"/>
    <w:rsid w:val="00364297"/>
    <w:rsid w:val="00364E82"/>
    <w:rsid w:val="00364F62"/>
    <w:rsid w:val="003656F0"/>
    <w:rsid w:val="00365E90"/>
    <w:rsid w:val="0036657B"/>
    <w:rsid w:val="00366836"/>
    <w:rsid w:val="0036703F"/>
    <w:rsid w:val="003704E0"/>
    <w:rsid w:val="00370620"/>
    <w:rsid w:val="00370A72"/>
    <w:rsid w:val="00370DF2"/>
    <w:rsid w:val="00371635"/>
    <w:rsid w:val="003718DD"/>
    <w:rsid w:val="00371A8E"/>
    <w:rsid w:val="003725AF"/>
    <w:rsid w:val="003725C2"/>
    <w:rsid w:val="003725D7"/>
    <w:rsid w:val="0037284B"/>
    <w:rsid w:val="0037290B"/>
    <w:rsid w:val="00374202"/>
    <w:rsid w:val="003745AF"/>
    <w:rsid w:val="0037468D"/>
    <w:rsid w:val="00374B99"/>
    <w:rsid w:val="00374C78"/>
    <w:rsid w:val="003750F8"/>
    <w:rsid w:val="003751F3"/>
    <w:rsid w:val="00375731"/>
    <w:rsid w:val="00376951"/>
    <w:rsid w:val="00377023"/>
    <w:rsid w:val="003800A2"/>
    <w:rsid w:val="00380848"/>
    <w:rsid w:val="0038099C"/>
    <w:rsid w:val="003811DE"/>
    <w:rsid w:val="00381B38"/>
    <w:rsid w:val="003822AE"/>
    <w:rsid w:val="003827D1"/>
    <w:rsid w:val="00382FA7"/>
    <w:rsid w:val="00383087"/>
    <w:rsid w:val="00384153"/>
    <w:rsid w:val="00384D94"/>
    <w:rsid w:val="003851AD"/>
    <w:rsid w:val="003853BE"/>
    <w:rsid w:val="00385ED3"/>
    <w:rsid w:val="00386986"/>
    <w:rsid w:val="00386A6A"/>
    <w:rsid w:val="00386D87"/>
    <w:rsid w:val="00390303"/>
    <w:rsid w:val="003908A6"/>
    <w:rsid w:val="00391625"/>
    <w:rsid w:val="003917BF"/>
    <w:rsid w:val="003919F4"/>
    <w:rsid w:val="00391FB1"/>
    <w:rsid w:val="0039203C"/>
    <w:rsid w:val="00392140"/>
    <w:rsid w:val="003924AD"/>
    <w:rsid w:val="00392EEC"/>
    <w:rsid w:val="00392F6E"/>
    <w:rsid w:val="00394069"/>
    <w:rsid w:val="00394833"/>
    <w:rsid w:val="00395105"/>
    <w:rsid w:val="00395567"/>
    <w:rsid w:val="00395762"/>
    <w:rsid w:val="00395816"/>
    <w:rsid w:val="003961BB"/>
    <w:rsid w:val="00396A71"/>
    <w:rsid w:val="00396C8C"/>
    <w:rsid w:val="0039783C"/>
    <w:rsid w:val="00397D75"/>
    <w:rsid w:val="003A0B9A"/>
    <w:rsid w:val="003A21A0"/>
    <w:rsid w:val="003A227A"/>
    <w:rsid w:val="003A24D7"/>
    <w:rsid w:val="003A437B"/>
    <w:rsid w:val="003A4B76"/>
    <w:rsid w:val="003A6047"/>
    <w:rsid w:val="003A60D8"/>
    <w:rsid w:val="003A7D00"/>
    <w:rsid w:val="003B098C"/>
    <w:rsid w:val="003B0CFC"/>
    <w:rsid w:val="003B2C3F"/>
    <w:rsid w:val="003B2E1E"/>
    <w:rsid w:val="003B416F"/>
    <w:rsid w:val="003B48E5"/>
    <w:rsid w:val="003B49A6"/>
    <w:rsid w:val="003B505C"/>
    <w:rsid w:val="003B51EE"/>
    <w:rsid w:val="003B5C5E"/>
    <w:rsid w:val="003B5F42"/>
    <w:rsid w:val="003B6B41"/>
    <w:rsid w:val="003B70A8"/>
    <w:rsid w:val="003B735C"/>
    <w:rsid w:val="003B7CB5"/>
    <w:rsid w:val="003C01DA"/>
    <w:rsid w:val="003C0315"/>
    <w:rsid w:val="003C063C"/>
    <w:rsid w:val="003C0698"/>
    <w:rsid w:val="003C1657"/>
    <w:rsid w:val="003C31F3"/>
    <w:rsid w:val="003C3693"/>
    <w:rsid w:val="003C3770"/>
    <w:rsid w:val="003C4A0D"/>
    <w:rsid w:val="003C4DB2"/>
    <w:rsid w:val="003C5D54"/>
    <w:rsid w:val="003C60A3"/>
    <w:rsid w:val="003C61C6"/>
    <w:rsid w:val="003C6748"/>
    <w:rsid w:val="003C680D"/>
    <w:rsid w:val="003C7D5C"/>
    <w:rsid w:val="003C7FA6"/>
    <w:rsid w:val="003D05CD"/>
    <w:rsid w:val="003D0AE7"/>
    <w:rsid w:val="003D0FA7"/>
    <w:rsid w:val="003D214C"/>
    <w:rsid w:val="003D244A"/>
    <w:rsid w:val="003D372F"/>
    <w:rsid w:val="003D373B"/>
    <w:rsid w:val="003D3863"/>
    <w:rsid w:val="003D3B88"/>
    <w:rsid w:val="003D451A"/>
    <w:rsid w:val="003D5605"/>
    <w:rsid w:val="003D5D2D"/>
    <w:rsid w:val="003D6456"/>
    <w:rsid w:val="003D6628"/>
    <w:rsid w:val="003D6B3C"/>
    <w:rsid w:val="003D6E2D"/>
    <w:rsid w:val="003D7C13"/>
    <w:rsid w:val="003E00D3"/>
    <w:rsid w:val="003E069B"/>
    <w:rsid w:val="003E0D27"/>
    <w:rsid w:val="003E115A"/>
    <w:rsid w:val="003E1774"/>
    <w:rsid w:val="003E1823"/>
    <w:rsid w:val="003E1AA5"/>
    <w:rsid w:val="003E2280"/>
    <w:rsid w:val="003E262D"/>
    <w:rsid w:val="003E26D8"/>
    <w:rsid w:val="003E27E5"/>
    <w:rsid w:val="003E2993"/>
    <w:rsid w:val="003E3451"/>
    <w:rsid w:val="003E3624"/>
    <w:rsid w:val="003E49DE"/>
    <w:rsid w:val="003E56BC"/>
    <w:rsid w:val="003E6990"/>
    <w:rsid w:val="003E6E33"/>
    <w:rsid w:val="003E72C4"/>
    <w:rsid w:val="003E7B8C"/>
    <w:rsid w:val="003E7EFA"/>
    <w:rsid w:val="003F04DE"/>
    <w:rsid w:val="003F0854"/>
    <w:rsid w:val="003F14E2"/>
    <w:rsid w:val="003F2536"/>
    <w:rsid w:val="003F29B3"/>
    <w:rsid w:val="003F2D8E"/>
    <w:rsid w:val="003F2F84"/>
    <w:rsid w:val="003F3C83"/>
    <w:rsid w:val="003F3E94"/>
    <w:rsid w:val="003F424B"/>
    <w:rsid w:val="003F4507"/>
    <w:rsid w:val="003F47F6"/>
    <w:rsid w:val="003F588B"/>
    <w:rsid w:val="003F6D18"/>
    <w:rsid w:val="003F79CA"/>
    <w:rsid w:val="004000EC"/>
    <w:rsid w:val="004005CB"/>
    <w:rsid w:val="00400E4C"/>
    <w:rsid w:val="00401379"/>
    <w:rsid w:val="0040156D"/>
    <w:rsid w:val="004015BB"/>
    <w:rsid w:val="004015C1"/>
    <w:rsid w:val="0040223A"/>
    <w:rsid w:val="004023C3"/>
    <w:rsid w:val="004025A0"/>
    <w:rsid w:val="004028B0"/>
    <w:rsid w:val="00402AFD"/>
    <w:rsid w:val="00403544"/>
    <w:rsid w:val="00403ADF"/>
    <w:rsid w:val="00403B24"/>
    <w:rsid w:val="00404554"/>
    <w:rsid w:val="00404B66"/>
    <w:rsid w:val="00404CDA"/>
    <w:rsid w:val="0040574A"/>
    <w:rsid w:val="00406015"/>
    <w:rsid w:val="004067DF"/>
    <w:rsid w:val="0040726A"/>
    <w:rsid w:val="00407A47"/>
    <w:rsid w:val="00407E8D"/>
    <w:rsid w:val="0041008D"/>
    <w:rsid w:val="00410C8C"/>
    <w:rsid w:val="00410FB4"/>
    <w:rsid w:val="00411E3B"/>
    <w:rsid w:val="00411F43"/>
    <w:rsid w:val="004132E0"/>
    <w:rsid w:val="004133AD"/>
    <w:rsid w:val="00414562"/>
    <w:rsid w:val="0041461A"/>
    <w:rsid w:val="004147D7"/>
    <w:rsid w:val="00414920"/>
    <w:rsid w:val="00415A08"/>
    <w:rsid w:val="004161FD"/>
    <w:rsid w:val="0041653B"/>
    <w:rsid w:val="0041678C"/>
    <w:rsid w:val="00416964"/>
    <w:rsid w:val="004171CF"/>
    <w:rsid w:val="004177CF"/>
    <w:rsid w:val="00417856"/>
    <w:rsid w:val="004179C2"/>
    <w:rsid w:val="00420008"/>
    <w:rsid w:val="00420CEF"/>
    <w:rsid w:val="00420D76"/>
    <w:rsid w:val="00421201"/>
    <w:rsid w:val="0042133D"/>
    <w:rsid w:val="004214EF"/>
    <w:rsid w:val="00421598"/>
    <w:rsid w:val="00422A31"/>
    <w:rsid w:val="00422D1A"/>
    <w:rsid w:val="004231B1"/>
    <w:rsid w:val="004237B8"/>
    <w:rsid w:val="0042385F"/>
    <w:rsid w:val="00425000"/>
    <w:rsid w:val="00425094"/>
    <w:rsid w:val="00426C3D"/>
    <w:rsid w:val="00427690"/>
    <w:rsid w:val="00430AB6"/>
    <w:rsid w:val="00431EDB"/>
    <w:rsid w:val="00432059"/>
    <w:rsid w:val="0043206B"/>
    <w:rsid w:val="0043266F"/>
    <w:rsid w:val="004331E8"/>
    <w:rsid w:val="004332AA"/>
    <w:rsid w:val="00434200"/>
    <w:rsid w:val="0043464B"/>
    <w:rsid w:val="00434A99"/>
    <w:rsid w:val="00435221"/>
    <w:rsid w:val="00435657"/>
    <w:rsid w:val="004358B6"/>
    <w:rsid w:val="00436293"/>
    <w:rsid w:val="00436C56"/>
    <w:rsid w:val="00436F2F"/>
    <w:rsid w:val="004374BA"/>
    <w:rsid w:val="00437972"/>
    <w:rsid w:val="004403AC"/>
    <w:rsid w:val="004405EA"/>
    <w:rsid w:val="0044114A"/>
    <w:rsid w:val="00441BBF"/>
    <w:rsid w:val="00441C06"/>
    <w:rsid w:val="00441CCD"/>
    <w:rsid w:val="00442017"/>
    <w:rsid w:val="0044224D"/>
    <w:rsid w:val="004428A0"/>
    <w:rsid w:val="0044365C"/>
    <w:rsid w:val="00443716"/>
    <w:rsid w:val="0044497D"/>
    <w:rsid w:val="004452FE"/>
    <w:rsid w:val="004453BA"/>
    <w:rsid w:val="00445500"/>
    <w:rsid w:val="0044557C"/>
    <w:rsid w:val="00445F9C"/>
    <w:rsid w:val="00446582"/>
    <w:rsid w:val="004467FB"/>
    <w:rsid w:val="00446D8E"/>
    <w:rsid w:val="00447FFD"/>
    <w:rsid w:val="00450F1F"/>
    <w:rsid w:val="00450F33"/>
    <w:rsid w:val="00451FAB"/>
    <w:rsid w:val="0045253A"/>
    <w:rsid w:val="00452DA2"/>
    <w:rsid w:val="00453ABB"/>
    <w:rsid w:val="004556A4"/>
    <w:rsid w:val="00455808"/>
    <w:rsid w:val="00455F66"/>
    <w:rsid w:val="00455F72"/>
    <w:rsid w:val="00456812"/>
    <w:rsid w:val="00456A18"/>
    <w:rsid w:val="00456BBE"/>
    <w:rsid w:val="0045778C"/>
    <w:rsid w:val="00457FDA"/>
    <w:rsid w:val="00460346"/>
    <w:rsid w:val="004603B8"/>
    <w:rsid w:val="004605E9"/>
    <w:rsid w:val="0046087D"/>
    <w:rsid w:val="00460EB8"/>
    <w:rsid w:val="00461166"/>
    <w:rsid w:val="004614F9"/>
    <w:rsid w:val="004618D6"/>
    <w:rsid w:val="00462077"/>
    <w:rsid w:val="004620B5"/>
    <w:rsid w:val="00462236"/>
    <w:rsid w:val="004630F3"/>
    <w:rsid w:val="004632ED"/>
    <w:rsid w:val="00463C69"/>
    <w:rsid w:val="00463FD0"/>
    <w:rsid w:val="0046494D"/>
    <w:rsid w:val="00464B74"/>
    <w:rsid w:val="00464F64"/>
    <w:rsid w:val="00465717"/>
    <w:rsid w:val="0046636B"/>
    <w:rsid w:val="0046655F"/>
    <w:rsid w:val="0046675C"/>
    <w:rsid w:val="00466CD0"/>
    <w:rsid w:val="0046703E"/>
    <w:rsid w:val="00467CE5"/>
    <w:rsid w:val="00470773"/>
    <w:rsid w:val="00470D7B"/>
    <w:rsid w:val="00471348"/>
    <w:rsid w:val="00471DE9"/>
    <w:rsid w:val="00471FE7"/>
    <w:rsid w:val="0047265F"/>
    <w:rsid w:val="004729D4"/>
    <w:rsid w:val="00472C51"/>
    <w:rsid w:val="00472D69"/>
    <w:rsid w:val="00474499"/>
    <w:rsid w:val="0047558D"/>
    <w:rsid w:val="00475A74"/>
    <w:rsid w:val="0047727A"/>
    <w:rsid w:val="00477405"/>
    <w:rsid w:val="00477892"/>
    <w:rsid w:val="00477955"/>
    <w:rsid w:val="00477B02"/>
    <w:rsid w:val="00477F26"/>
    <w:rsid w:val="004802C4"/>
    <w:rsid w:val="004802D8"/>
    <w:rsid w:val="00480BA5"/>
    <w:rsid w:val="00480E28"/>
    <w:rsid w:val="0048165E"/>
    <w:rsid w:val="00481660"/>
    <w:rsid w:val="00481C0D"/>
    <w:rsid w:val="00482195"/>
    <w:rsid w:val="00482D69"/>
    <w:rsid w:val="004833BC"/>
    <w:rsid w:val="004835A8"/>
    <w:rsid w:val="00483828"/>
    <w:rsid w:val="00483982"/>
    <w:rsid w:val="00484109"/>
    <w:rsid w:val="0048420E"/>
    <w:rsid w:val="00484B25"/>
    <w:rsid w:val="00485435"/>
    <w:rsid w:val="00485C8C"/>
    <w:rsid w:val="00485F4E"/>
    <w:rsid w:val="00486054"/>
    <w:rsid w:val="004861D7"/>
    <w:rsid w:val="00486394"/>
    <w:rsid w:val="0048656F"/>
    <w:rsid w:val="00486853"/>
    <w:rsid w:val="00487110"/>
    <w:rsid w:val="0048714B"/>
    <w:rsid w:val="00487AAF"/>
    <w:rsid w:val="00490790"/>
    <w:rsid w:val="00490A30"/>
    <w:rsid w:val="00491401"/>
    <w:rsid w:val="00491A08"/>
    <w:rsid w:val="00491AAA"/>
    <w:rsid w:val="0049211A"/>
    <w:rsid w:val="00492E29"/>
    <w:rsid w:val="00493BC2"/>
    <w:rsid w:val="00494204"/>
    <w:rsid w:val="00494351"/>
    <w:rsid w:val="004943DB"/>
    <w:rsid w:val="004947F0"/>
    <w:rsid w:val="00494EEE"/>
    <w:rsid w:val="004951EF"/>
    <w:rsid w:val="00495B21"/>
    <w:rsid w:val="004967EE"/>
    <w:rsid w:val="0049794A"/>
    <w:rsid w:val="004979D1"/>
    <w:rsid w:val="004A187B"/>
    <w:rsid w:val="004A1B15"/>
    <w:rsid w:val="004A1E88"/>
    <w:rsid w:val="004A2929"/>
    <w:rsid w:val="004A358B"/>
    <w:rsid w:val="004A4057"/>
    <w:rsid w:val="004A4670"/>
    <w:rsid w:val="004A50BE"/>
    <w:rsid w:val="004A54E7"/>
    <w:rsid w:val="004A6021"/>
    <w:rsid w:val="004A64FE"/>
    <w:rsid w:val="004A6A83"/>
    <w:rsid w:val="004A6B16"/>
    <w:rsid w:val="004A6FCE"/>
    <w:rsid w:val="004A7278"/>
    <w:rsid w:val="004A7925"/>
    <w:rsid w:val="004B0395"/>
    <w:rsid w:val="004B03BC"/>
    <w:rsid w:val="004B0478"/>
    <w:rsid w:val="004B056A"/>
    <w:rsid w:val="004B08CD"/>
    <w:rsid w:val="004B096A"/>
    <w:rsid w:val="004B3FD3"/>
    <w:rsid w:val="004B4202"/>
    <w:rsid w:val="004B45EA"/>
    <w:rsid w:val="004B4758"/>
    <w:rsid w:val="004B4D67"/>
    <w:rsid w:val="004B540F"/>
    <w:rsid w:val="004B5FAB"/>
    <w:rsid w:val="004B66BE"/>
    <w:rsid w:val="004B6E7D"/>
    <w:rsid w:val="004B7151"/>
    <w:rsid w:val="004B78DF"/>
    <w:rsid w:val="004B7AFA"/>
    <w:rsid w:val="004B7E96"/>
    <w:rsid w:val="004C01C3"/>
    <w:rsid w:val="004C17F5"/>
    <w:rsid w:val="004C2545"/>
    <w:rsid w:val="004C2AE7"/>
    <w:rsid w:val="004C2DFD"/>
    <w:rsid w:val="004C3B82"/>
    <w:rsid w:val="004C4C54"/>
    <w:rsid w:val="004C50CF"/>
    <w:rsid w:val="004C57AC"/>
    <w:rsid w:val="004C5807"/>
    <w:rsid w:val="004C5CA4"/>
    <w:rsid w:val="004C6427"/>
    <w:rsid w:val="004C66A5"/>
    <w:rsid w:val="004C685B"/>
    <w:rsid w:val="004C765F"/>
    <w:rsid w:val="004D052F"/>
    <w:rsid w:val="004D07D9"/>
    <w:rsid w:val="004D0F05"/>
    <w:rsid w:val="004D1169"/>
    <w:rsid w:val="004D1651"/>
    <w:rsid w:val="004D1CDE"/>
    <w:rsid w:val="004D2483"/>
    <w:rsid w:val="004D27CA"/>
    <w:rsid w:val="004D2CC2"/>
    <w:rsid w:val="004D2F63"/>
    <w:rsid w:val="004D3437"/>
    <w:rsid w:val="004D4A81"/>
    <w:rsid w:val="004D4ACD"/>
    <w:rsid w:val="004D52BB"/>
    <w:rsid w:val="004D6195"/>
    <w:rsid w:val="004D64AD"/>
    <w:rsid w:val="004D765A"/>
    <w:rsid w:val="004E1128"/>
    <w:rsid w:val="004E1164"/>
    <w:rsid w:val="004E11D1"/>
    <w:rsid w:val="004E1802"/>
    <w:rsid w:val="004E36FF"/>
    <w:rsid w:val="004E5B45"/>
    <w:rsid w:val="004E63AC"/>
    <w:rsid w:val="004E6B67"/>
    <w:rsid w:val="004E6F30"/>
    <w:rsid w:val="004E73FA"/>
    <w:rsid w:val="004E7548"/>
    <w:rsid w:val="004E761C"/>
    <w:rsid w:val="004F0455"/>
    <w:rsid w:val="004F1016"/>
    <w:rsid w:val="004F3B40"/>
    <w:rsid w:val="004F3E84"/>
    <w:rsid w:val="004F4E5D"/>
    <w:rsid w:val="004F59D6"/>
    <w:rsid w:val="004F7585"/>
    <w:rsid w:val="00500742"/>
    <w:rsid w:val="00500932"/>
    <w:rsid w:val="00500C08"/>
    <w:rsid w:val="005015CD"/>
    <w:rsid w:val="00502045"/>
    <w:rsid w:val="00502324"/>
    <w:rsid w:val="005024F0"/>
    <w:rsid w:val="00503D3F"/>
    <w:rsid w:val="00503DF0"/>
    <w:rsid w:val="00504B02"/>
    <w:rsid w:val="00504CF3"/>
    <w:rsid w:val="00504EBE"/>
    <w:rsid w:val="00505447"/>
    <w:rsid w:val="005068DF"/>
    <w:rsid w:val="00507048"/>
    <w:rsid w:val="00507317"/>
    <w:rsid w:val="00507514"/>
    <w:rsid w:val="00507D22"/>
    <w:rsid w:val="00507D95"/>
    <w:rsid w:val="00507DE4"/>
    <w:rsid w:val="00507F1D"/>
    <w:rsid w:val="0051022C"/>
    <w:rsid w:val="0051031B"/>
    <w:rsid w:val="00510D83"/>
    <w:rsid w:val="005118A8"/>
    <w:rsid w:val="005119B7"/>
    <w:rsid w:val="0051205F"/>
    <w:rsid w:val="0051294B"/>
    <w:rsid w:val="00513315"/>
    <w:rsid w:val="00515257"/>
    <w:rsid w:val="00515B13"/>
    <w:rsid w:val="00515B1B"/>
    <w:rsid w:val="00516750"/>
    <w:rsid w:val="00517000"/>
    <w:rsid w:val="00517596"/>
    <w:rsid w:val="0051760E"/>
    <w:rsid w:val="005176F4"/>
    <w:rsid w:val="00517E92"/>
    <w:rsid w:val="0052038E"/>
    <w:rsid w:val="005208C1"/>
    <w:rsid w:val="005239F0"/>
    <w:rsid w:val="00523EC7"/>
    <w:rsid w:val="00524114"/>
    <w:rsid w:val="00524261"/>
    <w:rsid w:val="00524291"/>
    <w:rsid w:val="005254DB"/>
    <w:rsid w:val="0052581B"/>
    <w:rsid w:val="00525A1B"/>
    <w:rsid w:val="00525A72"/>
    <w:rsid w:val="00525B84"/>
    <w:rsid w:val="00527216"/>
    <w:rsid w:val="0052771E"/>
    <w:rsid w:val="0053074C"/>
    <w:rsid w:val="00530A2B"/>
    <w:rsid w:val="0053187D"/>
    <w:rsid w:val="00532033"/>
    <w:rsid w:val="00532084"/>
    <w:rsid w:val="00532547"/>
    <w:rsid w:val="00532851"/>
    <w:rsid w:val="00535335"/>
    <w:rsid w:val="0053675A"/>
    <w:rsid w:val="00536DE9"/>
    <w:rsid w:val="005372CD"/>
    <w:rsid w:val="00537A84"/>
    <w:rsid w:val="00537C68"/>
    <w:rsid w:val="00537FF5"/>
    <w:rsid w:val="00540371"/>
    <w:rsid w:val="00540D09"/>
    <w:rsid w:val="00540E75"/>
    <w:rsid w:val="005416E8"/>
    <w:rsid w:val="00542B3E"/>
    <w:rsid w:val="00543C42"/>
    <w:rsid w:val="0054427D"/>
    <w:rsid w:val="00544282"/>
    <w:rsid w:val="00544F62"/>
    <w:rsid w:val="005455D8"/>
    <w:rsid w:val="00545ECB"/>
    <w:rsid w:val="0054697F"/>
    <w:rsid w:val="0054771B"/>
    <w:rsid w:val="00547776"/>
    <w:rsid w:val="00551307"/>
    <w:rsid w:val="00551B7F"/>
    <w:rsid w:val="00552944"/>
    <w:rsid w:val="005533A3"/>
    <w:rsid w:val="00553590"/>
    <w:rsid w:val="00553F94"/>
    <w:rsid w:val="005540D7"/>
    <w:rsid w:val="00554318"/>
    <w:rsid w:val="0055512B"/>
    <w:rsid w:val="0055526A"/>
    <w:rsid w:val="00555C4B"/>
    <w:rsid w:val="00555D84"/>
    <w:rsid w:val="00556061"/>
    <w:rsid w:val="00556113"/>
    <w:rsid w:val="005561BA"/>
    <w:rsid w:val="00556A58"/>
    <w:rsid w:val="00557138"/>
    <w:rsid w:val="0055744C"/>
    <w:rsid w:val="00557917"/>
    <w:rsid w:val="00557A56"/>
    <w:rsid w:val="0056009C"/>
    <w:rsid w:val="00560547"/>
    <w:rsid w:val="00560946"/>
    <w:rsid w:val="0056127A"/>
    <w:rsid w:val="00561819"/>
    <w:rsid w:val="0056181C"/>
    <w:rsid w:val="005618BF"/>
    <w:rsid w:val="0056374B"/>
    <w:rsid w:val="00563A2E"/>
    <w:rsid w:val="005646D3"/>
    <w:rsid w:val="00564739"/>
    <w:rsid w:val="00564991"/>
    <w:rsid w:val="00564FAE"/>
    <w:rsid w:val="005657B7"/>
    <w:rsid w:val="00565F5F"/>
    <w:rsid w:val="00566304"/>
    <w:rsid w:val="0056637A"/>
    <w:rsid w:val="00566471"/>
    <w:rsid w:val="00566BBC"/>
    <w:rsid w:val="0056766D"/>
    <w:rsid w:val="00567AD5"/>
    <w:rsid w:val="00570568"/>
    <w:rsid w:val="0057062B"/>
    <w:rsid w:val="00570B29"/>
    <w:rsid w:val="00570B2B"/>
    <w:rsid w:val="00571370"/>
    <w:rsid w:val="00571C0F"/>
    <w:rsid w:val="00572BD2"/>
    <w:rsid w:val="00572FBE"/>
    <w:rsid w:val="0057326D"/>
    <w:rsid w:val="00573AB3"/>
    <w:rsid w:val="00573C61"/>
    <w:rsid w:val="00573D7D"/>
    <w:rsid w:val="0057426E"/>
    <w:rsid w:val="005744DB"/>
    <w:rsid w:val="00574767"/>
    <w:rsid w:val="00574BC5"/>
    <w:rsid w:val="00575163"/>
    <w:rsid w:val="00576629"/>
    <w:rsid w:val="00576E6A"/>
    <w:rsid w:val="005778AC"/>
    <w:rsid w:val="00577FE8"/>
    <w:rsid w:val="00580CEE"/>
    <w:rsid w:val="00581879"/>
    <w:rsid w:val="005826ED"/>
    <w:rsid w:val="005828F1"/>
    <w:rsid w:val="00582989"/>
    <w:rsid w:val="00582AAF"/>
    <w:rsid w:val="00582ABD"/>
    <w:rsid w:val="00582E2F"/>
    <w:rsid w:val="00582FC7"/>
    <w:rsid w:val="0058301B"/>
    <w:rsid w:val="005830E0"/>
    <w:rsid w:val="00583548"/>
    <w:rsid w:val="00583A15"/>
    <w:rsid w:val="00584517"/>
    <w:rsid w:val="00585E77"/>
    <w:rsid w:val="00586328"/>
    <w:rsid w:val="00586C56"/>
    <w:rsid w:val="00586C5F"/>
    <w:rsid w:val="005876C0"/>
    <w:rsid w:val="00587E86"/>
    <w:rsid w:val="0059118E"/>
    <w:rsid w:val="00591877"/>
    <w:rsid w:val="005918E4"/>
    <w:rsid w:val="00592889"/>
    <w:rsid w:val="005928B4"/>
    <w:rsid w:val="005939F9"/>
    <w:rsid w:val="00593A51"/>
    <w:rsid w:val="005940AA"/>
    <w:rsid w:val="005940AF"/>
    <w:rsid w:val="0059414B"/>
    <w:rsid w:val="00594732"/>
    <w:rsid w:val="00594D07"/>
    <w:rsid w:val="005959C9"/>
    <w:rsid w:val="005959DB"/>
    <w:rsid w:val="00595E57"/>
    <w:rsid w:val="0059613F"/>
    <w:rsid w:val="005973E5"/>
    <w:rsid w:val="005A0199"/>
    <w:rsid w:val="005A04CC"/>
    <w:rsid w:val="005A1919"/>
    <w:rsid w:val="005A1F14"/>
    <w:rsid w:val="005A212E"/>
    <w:rsid w:val="005A2876"/>
    <w:rsid w:val="005A32C4"/>
    <w:rsid w:val="005A33DB"/>
    <w:rsid w:val="005A34C9"/>
    <w:rsid w:val="005A365B"/>
    <w:rsid w:val="005A3931"/>
    <w:rsid w:val="005A447B"/>
    <w:rsid w:val="005A4613"/>
    <w:rsid w:val="005A4909"/>
    <w:rsid w:val="005A49AF"/>
    <w:rsid w:val="005A4C24"/>
    <w:rsid w:val="005A5090"/>
    <w:rsid w:val="005A546B"/>
    <w:rsid w:val="005A70EC"/>
    <w:rsid w:val="005B0B5E"/>
    <w:rsid w:val="005B2584"/>
    <w:rsid w:val="005B29C3"/>
    <w:rsid w:val="005B2DE6"/>
    <w:rsid w:val="005B34DF"/>
    <w:rsid w:val="005B552E"/>
    <w:rsid w:val="005B57EF"/>
    <w:rsid w:val="005B5997"/>
    <w:rsid w:val="005B5E5B"/>
    <w:rsid w:val="005B6713"/>
    <w:rsid w:val="005B6B35"/>
    <w:rsid w:val="005B71F9"/>
    <w:rsid w:val="005B75CB"/>
    <w:rsid w:val="005B7AEF"/>
    <w:rsid w:val="005B7BFC"/>
    <w:rsid w:val="005C0444"/>
    <w:rsid w:val="005C065E"/>
    <w:rsid w:val="005C09B4"/>
    <w:rsid w:val="005C1A03"/>
    <w:rsid w:val="005C1DA8"/>
    <w:rsid w:val="005C20AA"/>
    <w:rsid w:val="005C2B7E"/>
    <w:rsid w:val="005C3191"/>
    <w:rsid w:val="005C40F5"/>
    <w:rsid w:val="005C5319"/>
    <w:rsid w:val="005C5397"/>
    <w:rsid w:val="005C5B98"/>
    <w:rsid w:val="005C5CBE"/>
    <w:rsid w:val="005C6EB9"/>
    <w:rsid w:val="005D0B94"/>
    <w:rsid w:val="005D0E3C"/>
    <w:rsid w:val="005D16C9"/>
    <w:rsid w:val="005D2816"/>
    <w:rsid w:val="005D28DA"/>
    <w:rsid w:val="005D3F3E"/>
    <w:rsid w:val="005D459E"/>
    <w:rsid w:val="005D4D04"/>
    <w:rsid w:val="005D59DA"/>
    <w:rsid w:val="005D59E9"/>
    <w:rsid w:val="005D5FDA"/>
    <w:rsid w:val="005D62DB"/>
    <w:rsid w:val="005D63CF"/>
    <w:rsid w:val="005D6911"/>
    <w:rsid w:val="005D69D2"/>
    <w:rsid w:val="005D7967"/>
    <w:rsid w:val="005E08C0"/>
    <w:rsid w:val="005E0CAD"/>
    <w:rsid w:val="005E1820"/>
    <w:rsid w:val="005E20D9"/>
    <w:rsid w:val="005E26DA"/>
    <w:rsid w:val="005E4973"/>
    <w:rsid w:val="005E57C8"/>
    <w:rsid w:val="005E5C38"/>
    <w:rsid w:val="005E7703"/>
    <w:rsid w:val="005E7B71"/>
    <w:rsid w:val="005E7BC0"/>
    <w:rsid w:val="005E7BF5"/>
    <w:rsid w:val="005F072E"/>
    <w:rsid w:val="005F2162"/>
    <w:rsid w:val="005F221E"/>
    <w:rsid w:val="005F2D60"/>
    <w:rsid w:val="005F3125"/>
    <w:rsid w:val="005F38D0"/>
    <w:rsid w:val="005F3F50"/>
    <w:rsid w:val="005F4217"/>
    <w:rsid w:val="005F4AD0"/>
    <w:rsid w:val="005F4B64"/>
    <w:rsid w:val="005F4E7B"/>
    <w:rsid w:val="005F5D1E"/>
    <w:rsid w:val="005F6958"/>
    <w:rsid w:val="005F7622"/>
    <w:rsid w:val="005F7F57"/>
    <w:rsid w:val="006004CA"/>
    <w:rsid w:val="00600517"/>
    <w:rsid w:val="00600722"/>
    <w:rsid w:val="00601D92"/>
    <w:rsid w:val="00602106"/>
    <w:rsid w:val="006021E1"/>
    <w:rsid w:val="00602CB6"/>
    <w:rsid w:val="0060392B"/>
    <w:rsid w:val="00603AB0"/>
    <w:rsid w:val="006041AB"/>
    <w:rsid w:val="0060437F"/>
    <w:rsid w:val="00604408"/>
    <w:rsid w:val="00604CBD"/>
    <w:rsid w:val="00604E8B"/>
    <w:rsid w:val="006057E3"/>
    <w:rsid w:val="00605F40"/>
    <w:rsid w:val="006070E3"/>
    <w:rsid w:val="00607B8D"/>
    <w:rsid w:val="00607D87"/>
    <w:rsid w:val="0061025E"/>
    <w:rsid w:val="006104D8"/>
    <w:rsid w:val="00610831"/>
    <w:rsid w:val="00611874"/>
    <w:rsid w:val="00611B20"/>
    <w:rsid w:val="00611DC5"/>
    <w:rsid w:val="00612060"/>
    <w:rsid w:val="00612DA6"/>
    <w:rsid w:val="006147BF"/>
    <w:rsid w:val="00614CE4"/>
    <w:rsid w:val="00614D1F"/>
    <w:rsid w:val="006158E7"/>
    <w:rsid w:val="00615AE0"/>
    <w:rsid w:val="00616210"/>
    <w:rsid w:val="00617515"/>
    <w:rsid w:val="0062007E"/>
    <w:rsid w:val="00620479"/>
    <w:rsid w:val="00620CA7"/>
    <w:rsid w:val="00621335"/>
    <w:rsid w:val="00621577"/>
    <w:rsid w:val="00621679"/>
    <w:rsid w:val="006218EE"/>
    <w:rsid w:val="00621F80"/>
    <w:rsid w:val="006227A8"/>
    <w:rsid w:val="00622984"/>
    <w:rsid w:val="00622ACE"/>
    <w:rsid w:val="00622BD1"/>
    <w:rsid w:val="006243AF"/>
    <w:rsid w:val="00624AE9"/>
    <w:rsid w:val="00624FED"/>
    <w:rsid w:val="00625390"/>
    <w:rsid w:val="006253BB"/>
    <w:rsid w:val="00625615"/>
    <w:rsid w:val="006259E4"/>
    <w:rsid w:val="00625CFF"/>
    <w:rsid w:val="00626070"/>
    <w:rsid w:val="00627490"/>
    <w:rsid w:val="0062770C"/>
    <w:rsid w:val="006302B3"/>
    <w:rsid w:val="0063074C"/>
    <w:rsid w:val="006310AF"/>
    <w:rsid w:val="006312FA"/>
    <w:rsid w:val="006315E4"/>
    <w:rsid w:val="00631CBD"/>
    <w:rsid w:val="00632334"/>
    <w:rsid w:val="006324FB"/>
    <w:rsid w:val="00633311"/>
    <w:rsid w:val="00633433"/>
    <w:rsid w:val="0063463A"/>
    <w:rsid w:val="0063470F"/>
    <w:rsid w:val="006353BD"/>
    <w:rsid w:val="006356B0"/>
    <w:rsid w:val="0063580A"/>
    <w:rsid w:val="00636562"/>
    <w:rsid w:val="00636FDA"/>
    <w:rsid w:val="00637636"/>
    <w:rsid w:val="0064023A"/>
    <w:rsid w:val="006408BB"/>
    <w:rsid w:val="006417DC"/>
    <w:rsid w:val="006418FB"/>
    <w:rsid w:val="00641C09"/>
    <w:rsid w:val="00641CA9"/>
    <w:rsid w:val="006437D2"/>
    <w:rsid w:val="00643ADB"/>
    <w:rsid w:val="00643B14"/>
    <w:rsid w:val="0064421A"/>
    <w:rsid w:val="00644582"/>
    <w:rsid w:val="00644710"/>
    <w:rsid w:val="00644C50"/>
    <w:rsid w:val="0064519B"/>
    <w:rsid w:val="00645358"/>
    <w:rsid w:val="00645DA5"/>
    <w:rsid w:val="00647A0B"/>
    <w:rsid w:val="00647B81"/>
    <w:rsid w:val="00650047"/>
    <w:rsid w:val="006520AE"/>
    <w:rsid w:val="006528BE"/>
    <w:rsid w:val="006534A8"/>
    <w:rsid w:val="006539AD"/>
    <w:rsid w:val="0065461F"/>
    <w:rsid w:val="00654780"/>
    <w:rsid w:val="006547C0"/>
    <w:rsid w:val="00654800"/>
    <w:rsid w:val="00654F29"/>
    <w:rsid w:val="0065651F"/>
    <w:rsid w:val="00656C7C"/>
    <w:rsid w:val="00660C60"/>
    <w:rsid w:val="006616B1"/>
    <w:rsid w:val="006619AF"/>
    <w:rsid w:val="006619BE"/>
    <w:rsid w:val="00661DD6"/>
    <w:rsid w:val="00661FB4"/>
    <w:rsid w:val="00662BD6"/>
    <w:rsid w:val="00662DAC"/>
    <w:rsid w:val="0066317A"/>
    <w:rsid w:val="006632C7"/>
    <w:rsid w:val="00663528"/>
    <w:rsid w:val="00663829"/>
    <w:rsid w:val="00663A9B"/>
    <w:rsid w:val="00664234"/>
    <w:rsid w:val="006651D2"/>
    <w:rsid w:val="00665210"/>
    <w:rsid w:val="0066598D"/>
    <w:rsid w:val="00665B60"/>
    <w:rsid w:val="006668E2"/>
    <w:rsid w:val="00666922"/>
    <w:rsid w:val="006677FC"/>
    <w:rsid w:val="00670751"/>
    <w:rsid w:val="00672B40"/>
    <w:rsid w:val="00673F0B"/>
    <w:rsid w:val="0067404A"/>
    <w:rsid w:val="00675B16"/>
    <w:rsid w:val="00675D03"/>
    <w:rsid w:val="0067637A"/>
    <w:rsid w:val="006766BD"/>
    <w:rsid w:val="00676D87"/>
    <w:rsid w:val="006776EA"/>
    <w:rsid w:val="006812A8"/>
    <w:rsid w:val="00682226"/>
    <w:rsid w:val="00682FF1"/>
    <w:rsid w:val="00683189"/>
    <w:rsid w:val="00683674"/>
    <w:rsid w:val="00683720"/>
    <w:rsid w:val="00683D48"/>
    <w:rsid w:val="00684283"/>
    <w:rsid w:val="00684400"/>
    <w:rsid w:val="006844DD"/>
    <w:rsid w:val="00685422"/>
    <w:rsid w:val="006857A7"/>
    <w:rsid w:val="00685933"/>
    <w:rsid w:val="0068617B"/>
    <w:rsid w:val="00686261"/>
    <w:rsid w:val="006869D0"/>
    <w:rsid w:val="00686FB3"/>
    <w:rsid w:val="006873F7"/>
    <w:rsid w:val="00687E6E"/>
    <w:rsid w:val="00687F8B"/>
    <w:rsid w:val="00690288"/>
    <w:rsid w:val="00690319"/>
    <w:rsid w:val="00690A2A"/>
    <w:rsid w:val="00692CE0"/>
    <w:rsid w:val="006945C8"/>
    <w:rsid w:val="00694BEE"/>
    <w:rsid w:val="00694C0E"/>
    <w:rsid w:val="006950E1"/>
    <w:rsid w:val="00695792"/>
    <w:rsid w:val="00695C83"/>
    <w:rsid w:val="00695CB1"/>
    <w:rsid w:val="0069624C"/>
    <w:rsid w:val="006968C5"/>
    <w:rsid w:val="00696E3B"/>
    <w:rsid w:val="00697457"/>
    <w:rsid w:val="00697BFE"/>
    <w:rsid w:val="006A0C0F"/>
    <w:rsid w:val="006A12CB"/>
    <w:rsid w:val="006A13BA"/>
    <w:rsid w:val="006A14CD"/>
    <w:rsid w:val="006A18F8"/>
    <w:rsid w:val="006A1BC5"/>
    <w:rsid w:val="006A20BB"/>
    <w:rsid w:val="006A21EF"/>
    <w:rsid w:val="006A2A7A"/>
    <w:rsid w:val="006A2D68"/>
    <w:rsid w:val="006A3249"/>
    <w:rsid w:val="006A38C0"/>
    <w:rsid w:val="006A48C5"/>
    <w:rsid w:val="006A4BC2"/>
    <w:rsid w:val="006A637A"/>
    <w:rsid w:val="006A6510"/>
    <w:rsid w:val="006A7511"/>
    <w:rsid w:val="006B120E"/>
    <w:rsid w:val="006B1321"/>
    <w:rsid w:val="006B238B"/>
    <w:rsid w:val="006B35A2"/>
    <w:rsid w:val="006B35BE"/>
    <w:rsid w:val="006B4BEF"/>
    <w:rsid w:val="006B4EAC"/>
    <w:rsid w:val="006B4F73"/>
    <w:rsid w:val="006B5025"/>
    <w:rsid w:val="006B5AB1"/>
    <w:rsid w:val="006B6891"/>
    <w:rsid w:val="006B725C"/>
    <w:rsid w:val="006C0299"/>
    <w:rsid w:val="006C08C5"/>
    <w:rsid w:val="006C09C5"/>
    <w:rsid w:val="006C1070"/>
    <w:rsid w:val="006C11A3"/>
    <w:rsid w:val="006C1349"/>
    <w:rsid w:val="006C1EE1"/>
    <w:rsid w:val="006C2FC6"/>
    <w:rsid w:val="006C39FD"/>
    <w:rsid w:val="006C459D"/>
    <w:rsid w:val="006C4AD0"/>
    <w:rsid w:val="006C542F"/>
    <w:rsid w:val="006C6A5C"/>
    <w:rsid w:val="006C744C"/>
    <w:rsid w:val="006C7EAA"/>
    <w:rsid w:val="006D04D7"/>
    <w:rsid w:val="006D0637"/>
    <w:rsid w:val="006D07E2"/>
    <w:rsid w:val="006D175C"/>
    <w:rsid w:val="006D19CD"/>
    <w:rsid w:val="006D1B7B"/>
    <w:rsid w:val="006D2E73"/>
    <w:rsid w:val="006D362D"/>
    <w:rsid w:val="006D3EB1"/>
    <w:rsid w:val="006D44AC"/>
    <w:rsid w:val="006D453D"/>
    <w:rsid w:val="006D45AE"/>
    <w:rsid w:val="006D4FC3"/>
    <w:rsid w:val="006D5091"/>
    <w:rsid w:val="006D5C38"/>
    <w:rsid w:val="006D611C"/>
    <w:rsid w:val="006D61B4"/>
    <w:rsid w:val="006D62CE"/>
    <w:rsid w:val="006D68AC"/>
    <w:rsid w:val="006D6B1D"/>
    <w:rsid w:val="006D6C67"/>
    <w:rsid w:val="006D75C2"/>
    <w:rsid w:val="006E024D"/>
    <w:rsid w:val="006E033A"/>
    <w:rsid w:val="006E19B0"/>
    <w:rsid w:val="006E1C67"/>
    <w:rsid w:val="006E1C86"/>
    <w:rsid w:val="006E1FB4"/>
    <w:rsid w:val="006E2567"/>
    <w:rsid w:val="006E2F85"/>
    <w:rsid w:val="006E4DBE"/>
    <w:rsid w:val="006E4FAA"/>
    <w:rsid w:val="006E5238"/>
    <w:rsid w:val="006E5C2D"/>
    <w:rsid w:val="006E6F38"/>
    <w:rsid w:val="006E7845"/>
    <w:rsid w:val="006E78C3"/>
    <w:rsid w:val="006F0A85"/>
    <w:rsid w:val="006F1309"/>
    <w:rsid w:val="006F1748"/>
    <w:rsid w:val="006F1ACB"/>
    <w:rsid w:val="006F1D71"/>
    <w:rsid w:val="006F28D9"/>
    <w:rsid w:val="006F2C39"/>
    <w:rsid w:val="006F2F11"/>
    <w:rsid w:val="006F3A4A"/>
    <w:rsid w:val="006F3AF6"/>
    <w:rsid w:val="006F3FB0"/>
    <w:rsid w:val="006F4370"/>
    <w:rsid w:val="006F479C"/>
    <w:rsid w:val="006F5628"/>
    <w:rsid w:val="006F5761"/>
    <w:rsid w:val="006F5B79"/>
    <w:rsid w:val="006F5E42"/>
    <w:rsid w:val="006F618E"/>
    <w:rsid w:val="006F799F"/>
    <w:rsid w:val="007000F4"/>
    <w:rsid w:val="00700E6D"/>
    <w:rsid w:val="0070154F"/>
    <w:rsid w:val="007023D9"/>
    <w:rsid w:val="00702EC2"/>
    <w:rsid w:val="00702FEE"/>
    <w:rsid w:val="00703B6F"/>
    <w:rsid w:val="00703BCF"/>
    <w:rsid w:val="00703ECC"/>
    <w:rsid w:val="0070409B"/>
    <w:rsid w:val="007045F2"/>
    <w:rsid w:val="007051FD"/>
    <w:rsid w:val="007056BA"/>
    <w:rsid w:val="007057BC"/>
    <w:rsid w:val="00706216"/>
    <w:rsid w:val="00706241"/>
    <w:rsid w:val="0070664D"/>
    <w:rsid w:val="00707266"/>
    <w:rsid w:val="007073C0"/>
    <w:rsid w:val="00707EDF"/>
    <w:rsid w:val="00710E99"/>
    <w:rsid w:val="00711009"/>
    <w:rsid w:val="00711448"/>
    <w:rsid w:val="00711739"/>
    <w:rsid w:val="00711B0E"/>
    <w:rsid w:val="00712104"/>
    <w:rsid w:val="0071225E"/>
    <w:rsid w:val="00712603"/>
    <w:rsid w:val="00713090"/>
    <w:rsid w:val="00713BF9"/>
    <w:rsid w:val="00714071"/>
    <w:rsid w:val="00714143"/>
    <w:rsid w:val="007141F1"/>
    <w:rsid w:val="007145EB"/>
    <w:rsid w:val="00716047"/>
    <w:rsid w:val="00716451"/>
    <w:rsid w:val="00716A2F"/>
    <w:rsid w:val="00717D37"/>
    <w:rsid w:val="00720222"/>
    <w:rsid w:val="0072158D"/>
    <w:rsid w:val="00721627"/>
    <w:rsid w:val="00721709"/>
    <w:rsid w:val="00721F90"/>
    <w:rsid w:val="00722416"/>
    <w:rsid w:val="007233C5"/>
    <w:rsid w:val="00723D3B"/>
    <w:rsid w:val="00723E19"/>
    <w:rsid w:val="00723F4B"/>
    <w:rsid w:val="00723F4D"/>
    <w:rsid w:val="0072447D"/>
    <w:rsid w:val="007248BD"/>
    <w:rsid w:val="00724C74"/>
    <w:rsid w:val="00724FD6"/>
    <w:rsid w:val="0072598E"/>
    <w:rsid w:val="00726056"/>
    <w:rsid w:val="0072648E"/>
    <w:rsid w:val="00727937"/>
    <w:rsid w:val="00727A7A"/>
    <w:rsid w:val="00730CEA"/>
    <w:rsid w:val="007312E7"/>
    <w:rsid w:val="007317C3"/>
    <w:rsid w:val="007320DB"/>
    <w:rsid w:val="007328FD"/>
    <w:rsid w:val="00732C2D"/>
    <w:rsid w:val="007331DF"/>
    <w:rsid w:val="00734924"/>
    <w:rsid w:val="007367A6"/>
    <w:rsid w:val="00736DFD"/>
    <w:rsid w:val="00740666"/>
    <w:rsid w:val="0074066F"/>
    <w:rsid w:val="00740A01"/>
    <w:rsid w:val="00740C28"/>
    <w:rsid w:val="00740C2A"/>
    <w:rsid w:val="00740CD3"/>
    <w:rsid w:val="00741808"/>
    <w:rsid w:val="007419B4"/>
    <w:rsid w:val="00741F1B"/>
    <w:rsid w:val="00742591"/>
    <w:rsid w:val="00742D88"/>
    <w:rsid w:val="00743AD9"/>
    <w:rsid w:val="007444A6"/>
    <w:rsid w:val="00744B82"/>
    <w:rsid w:val="0074511D"/>
    <w:rsid w:val="00745798"/>
    <w:rsid w:val="00745AEE"/>
    <w:rsid w:val="00746496"/>
    <w:rsid w:val="00747388"/>
    <w:rsid w:val="0074788F"/>
    <w:rsid w:val="00747FD2"/>
    <w:rsid w:val="007502E4"/>
    <w:rsid w:val="00750B20"/>
    <w:rsid w:val="00750D01"/>
    <w:rsid w:val="0075123B"/>
    <w:rsid w:val="00751BBD"/>
    <w:rsid w:val="00751FB7"/>
    <w:rsid w:val="007521B8"/>
    <w:rsid w:val="007529C2"/>
    <w:rsid w:val="00753046"/>
    <w:rsid w:val="007530FD"/>
    <w:rsid w:val="00754A15"/>
    <w:rsid w:val="00754AA4"/>
    <w:rsid w:val="00756107"/>
    <w:rsid w:val="00756604"/>
    <w:rsid w:val="00756644"/>
    <w:rsid w:val="00756DC1"/>
    <w:rsid w:val="007573BC"/>
    <w:rsid w:val="007600DD"/>
    <w:rsid w:val="00760264"/>
    <w:rsid w:val="00760FD4"/>
    <w:rsid w:val="007629C5"/>
    <w:rsid w:val="00762F83"/>
    <w:rsid w:val="00763035"/>
    <w:rsid w:val="00763276"/>
    <w:rsid w:val="0076342B"/>
    <w:rsid w:val="00763847"/>
    <w:rsid w:val="007638E2"/>
    <w:rsid w:val="00763D38"/>
    <w:rsid w:val="00764050"/>
    <w:rsid w:val="0076415B"/>
    <w:rsid w:val="00765788"/>
    <w:rsid w:val="00765BDD"/>
    <w:rsid w:val="0076604C"/>
    <w:rsid w:val="0076689A"/>
    <w:rsid w:val="007672AE"/>
    <w:rsid w:val="00767621"/>
    <w:rsid w:val="00767AA9"/>
    <w:rsid w:val="00767AEF"/>
    <w:rsid w:val="00767BFB"/>
    <w:rsid w:val="007707CF"/>
    <w:rsid w:val="00770917"/>
    <w:rsid w:val="00770F13"/>
    <w:rsid w:val="007712F0"/>
    <w:rsid w:val="00771387"/>
    <w:rsid w:val="0077192D"/>
    <w:rsid w:val="007725FB"/>
    <w:rsid w:val="00772893"/>
    <w:rsid w:val="00772F4B"/>
    <w:rsid w:val="00774293"/>
    <w:rsid w:val="007748C7"/>
    <w:rsid w:val="00774C25"/>
    <w:rsid w:val="007758A1"/>
    <w:rsid w:val="00775CDD"/>
    <w:rsid w:val="00775EC3"/>
    <w:rsid w:val="00777967"/>
    <w:rsid w:val="007805E9"/>
    <w:rsid w:val="007806DD"/>
    <w:rsid w:val="00780721"/>
    <w:rsid w:val="00782217"/>
    <w:rsid w:val="00782284"/>
    <w:rsid w:val="00782CCB"/>
    <w:rsid w:val="00783116"/>
    <w:rsid w:val="00783EAF"/>
    <w:rsid w:val="0078475F"/>
    <w:rsid w:val="00784868"/>
    <w:rsid w:val="007852FD"/>
    <w:rsid w:val="00785563"/>
    <w:rsid w:val="007855A0"/>
    <w:rsid w:val="0078704F"/>
    <w:rsid w:val="007873BB"/>
    <w:rsid w:val="0078759F"/>
    <w:rsid w:val="00787610"/>
    <w:rsid w:val="00790E7F"/>
    <w:rsid w:val="00790ED6"/>
    <w:rsid w:val="0079114F"/>
    <w:rsid w:val="00791F56"/>
    <w:rsid w:val="0079267A"/>
    <w:rsid w:val="007927D2"/>
    <w:rsid w:val="007931EC"/>
    <w:rsid w:val="00793275"/>
    <w:rsid w:val="0079337F"/>
    <w:rsid w:val="0079521F"/>
    <w:rsid w:val="00795487"/>
    <w:rsid w:val="00795757"/>
    <w:rsid w:val="00795C2E"/>
    <w:rsid w:val="00796241"/>
    <w:rsid w:val="00796BA5"/>
    <w:rsid w:val="00796BCC"/>
    <w:rsid w:val="00796CFA"/>
    <w:rsid w:val="0079720A"/>
    <w:rsid w:val="0079758B"/>
    <w:rsid w:val="00797E44"/>
    <w:rsid w:val="007A0B54"/>
    <w:rsid w:val="007A0FC1"/>
    <w:rsid w:val="007A121C"/>
    <w:rsid w:val="007A25A6"/>
    <w:rsid w:val="007A25DE"/>
    <w:rsid w:val="007A27E5"/>
    <w:rsid w:val="007A3109"/>
    <w:rsid w:val="007A5353"/>
    <w:rsid w:val="007A5539"/>
    <w:rsid w:val="007A55CF"/>
    <w:rsid w:val="007A56D5"/>
    <w:rsid w:val="007A5EF2"/>
    <w:rsid w:val="007A706F"/>
    <w:rsid w:val="007A70D8"/>
    <w:rsid w:val="007A7227"/>
    <w:rsid w:val="007A78FD"/>
    <w:rsid w:val="007A7B71"/>
    <w:rsid w:val="007A7D45"/>
    <w:rsid w:val="007B1077"/>
    <w:rsid w:val="007B154A"/>
    <w:rsid w:val="007B1C75"/>
    <w:rsid w:val="007B1F63"/>
    <w:rsid w:val="007B2394"/>
    <w:rsid w:val="007B2B0B"/>
    <w:rsid w:val="007B31EE"/>
    <w:rsid w:val="007B4880"/>
    <w:rsid w:val="007B4B24"/>
    <w:rsid w:val="007B4CD7"/>
    <w:rsid w:val="007B5040"/>
    <w:rsid w:val="007B5601"/>
    <w:rsid w:val="007B59B3"/>
    <w:rsid w:val="007B5E0E"/>
    <w:rsid w:val="007B677E"/>
    <w:rsid w:val="007B7318"/>
    <w:rsid w:val="007B73F6"/>
    <w:rsid w:val="007B7B36"/>
    <w:rsid w:val="007B7D50"/>
    <w:rsid w:val="007C0439"/>
    <w:rsid w:val="007C065B"/>
    <w:rsid w:val="007C0D10"/>
    <w:rsid w:val="007C133C"/>
    <w:rsid w:val="007C19FA"/>
    <w:rsid w:val="007C2778"/>
    <w:rsid w:val="007C35DE"/>
    <w:rsid w:val="007C3905"/>
    <w:rsid w:val="007C45B2"/>
    <w:rsid w:val="007C4B02"/>
    <w:rsid w:val="007C5D8A"/>
    <w:rsid w:val="007C5E6F"/>
    <w:rsid w:val="007C63B3"/>
    <w:rsid w:val="007C786B"/>
    <w:rsid w:val="007D00EA"/>
    <w:rsid w:val="007D0F82"/>
    <w:rsid w:val="007D1177"/>
    <w:rsid w:val="007D117B"/>
    <w:rsid w:val="007D157C"/>
    <w:rsid w:val="007D1B8C"/>
    <w:rsid w:val="007D2171"/>
    <w:rsid w:val="007D2637"/>
    <w:rsid w:val="007D4A29"/>
    <w:rsid w:val="007D4EB4"/>
    <w:rsid w:val="007D5B4B"/>
    <w:rsid w:val="007D5E2E"/>
    <w:rsid w:val="007D5EC6"/>
    <w:rsid w:val="007D65CF"/>
    <w:rsid w:val="007D6B5C"/>
    <w:rsid w:val="007D79F8"/>
    <w:rsid w:val="007D7CEE"/>
    <w:rsid w:val="007E0BDB"/>
    <w:rsid w:val="007E0C47"/>
    <w:rsid w:val="007E1061"/>
    <w:rsid w:val="007E1FB0"/>
    <w:rsid w:val="007E205B"/>
    <w:rsid w:val="007E257D"/>
    <w:rsid w:val="007E2981"/>
    <w:rsid w:val="007E3360"/>
    <w:rsid w:val="007E36C3"/>
    <w:rsid w:val="007E3816"/>
    <w:rsid w:val="007E407A"/>
    <w:rsid w:val="007E43D1"/>
    <w:rsid w:val="007E4C40"/>
    <w:rsid w:val="007E4CD1"/>
    <w:rsid w:val="007E5D76"/>
    <w:rsid w:val="007E67B7"/>
    <w:rsid w:val="007E6875"/>
    <w:rsid w:val="007E72E5"/>
    <w:rsid w:val="007E75BB"/>
    <w:rsid w:val="007E76C4"/>
    <w:rsid w:val="007E7A09"/>
    <w:rsid w:val="007E7DE7"/>
    <w:rsid w:val="007F06B1"/>
    <w:rsid w:val="007F18B5"/>
    <w:rsid w:val="007F27D4"/>
    <w:rsid w:val="007F2B65"/>
    <w:rsid w:val="007F4860"/>
    <w:rsid w:val="007F4AE1"/>
    <w:rsid w:val="007F4CBA"/>
    <w:rsid w:val="007F5E5E"/>
    <w:rsid w:val="007F65BD"/>
    <w:rsid w:val="007F6C70"/>
    <w:rsid w:val="007F7110"/>
    <w:rsid w:val="00800694"/>
    <w:rsid w:val="008007BB"/>
    <w:rsid w:val="008012A2"/>
    <w:rsid w:val="0080319E"/>
    <w:rsid w:val="008034A9"/>
    <w:rsid w:val="00803A6F"/>
    <w:rsid w:val="008040A3"/>
    <w:rsid w:val="00804D1A"/>
    <w:rsid w:val="00804F8E"/>
    <w:rsid w:val="0080584E"/>
    <w:rsid w:val="008061B0"/>
    <w:rsid w:val="00806483"/>
    <w:rsid w:val="0080713C"/>
    <w:rsid w:val="008075C7"/>
    <w:rsid w:val="00807C6E"/>
    <w:rsid w:val="00807D41"/>
    <w:rsid w:val="0081072C"/>
    <w:rsid w:val="00810BD0"/>
    <w:rsid w:val="00810D29"/>
    <w:rsid w:val="0081157E"/>
    <w:rsid w:val="008125E3"/>
    <w:rsid w:val="008127F8"/>
    <w:rsid w:val="00812CC3"/>
    <w:rsid w:val="008130D9"/>
    <w:rsid w:val="0081421B"/>
    <w:rsid w:val="00814BA5"/>
    <w:rsid w:val="00814EDA"/>
    <w:rsid w:val="0081530F"/>
    <w:rsid w:val="00815A86"/>
    <w:rsid w:val="00816613"/>
    <w:rsid w:val="0081686C"/>
    <w:rsid w:val="00816CBC"/>
    <w:rsid w:val="00816FD1"/>
    <w:rsid w:val="00817016"/>
    <w:rsid w:val="0081742E"/>
    <w:rsid w:val="00817750"/>
    <w:rsid w:val="00817909"/>
    <w:rsid w:val="008201D3"/>
    <w:rsid w:val="008205DE"/>
    <w:rsid w:val="008207E5"/>
    <w:rsid w:val="00820D4D"/>
    <w:rsid w:val="00820F2B"/>
    <w:rsid w:val="00821B71"/>
    <w:rsid w:val="00821EC4"/>
    <w:rsid w:val="008222F6"/>
    <w:rsid w:val="0082246C"/>
    <w:rsid w:val="008228E6"/>
    <w:rsid w:val="00823535"/>
    <w:rsid w:val="00823DF4"/>
    <w:rsid w:val="00823F79"/>
    <w:rsid w:val="00824690"/>
    <w:rsid w:val="0082552E"/>
    <w:rsid w:val="008255AC"/>
    <w:rsid w:val="00825BBC"/>
    <w:rsid w:val="0082606E"/>
    <w:rsid w:val="00826767"/>
    <w:rsid w:val="00826B2A"/>
    <w:rsid w:val="00826C2D"/>
    <w:rsid w:val="0082767A"/>
    <w:rsid w:val="00830EAE"/>
    <w:rsid w:val="008310FD"/>
    <w:rsid w:val="00831F6C"/>
    <w:rsid w:val="00832407"/>
    <w:rsid w:val="00832643"/>
    <w:rsid w:val="00832909"/>
    <w:rsid w:val="00833EF6"/>
    <w:rsid w:val="008345FD"/>
    <w:rsid w:val="00834687"/>
    <w:rsid w:val="00834AA0"/>
    <w:rsid w:val="00836277"/>
    <w:rsid w:val="008366BC"/>
    <w:rsid w:val="008402DC"/>
    <w:rsid w:val="008410EE"/>
    <w:rsid w:val="0084269D"/>
    <w:rsid w:val="00842C2B"/>
    <w:rsid w:val="00842D6F"/>
    <w:rsid w:val="00842EA8"/>
    <w:rsid w:val="00844EE6"/>
    <w:rsid w:val="0084555C"/>
    <w:rsid w:val="00845E29"/>
    <w:rsid w:val="0084601B"/>
    <w:rsid w:val="00846B32"/>
    <w:rsid w:val="00847566"/>
    <w:rsid w:val="00850099"/>
    <w:rsid w:val="00850E43"/>
    <w:rsid w:val="0085120E"/>
    <w:rsid w:val="00851445"/>
    <w:rsid w:val="00852501"/>
    <w:rsid w:val="00852B7D"/>
    <w:rsid w:val="00852EBA"/>
    <w:rsid w:val="00852EDB"/>
    <w:rsid w:val="00853174"/>
    <w:rsid w:val="00853223"/>
    <w:rsid w:val="0085355C"/>
    <w:rsid w:val="008539A2"/>
    <w:rsid w:val="008541D6"/>
    <w:rsid w:val="008557D1"/>
    <w:rsid w:val="00855BC4"/>
    <w:rsid w:val="0085705C"/>
    <w:rsid w:val="00860D1A"/>
    <w:rsid w:val="0086126F"/>
    <w:rsid w:val="00861410"/>
    <w:rsid w:val="0086178C"/>
    <w:rsid w:val="00862637"/>
    <w:rsid w:val="008629E4"/>
    <w:rsid w:val="00862CF3"/>
    <w:rsid w:val="00862CFD"/>
    <w:rsid w:val="00862D72"/>
    <w:rsid w:val="008634AD"/>
    <w:rsid w:val="008643A2"/>
    <w:rsid w:val="008644D1"/>
    <w:rsid w:val="00864946"/>
    <w:rsid w:val="0086564C"/>
    <w:rsid w:val="0086574C"/>
    <w:rsid w:val="008658EF"/>
    <w:rsid w:val="00865DE0"/>
    <w:rsid w:val="00865F67"/>
    <w:rsid w:val="008660E7"/>
    <w:rsid w:val="00866388"/>
    <w:rsid w:val="008664C3"/>
    <w:rsid w:val="00866B7C"/>
    <w:rsid w:val="00866FA1"/>
    <w:rsid w:val="00867126"/>
    <w:rsid w:val="008679DD"/>
    <w:rsid w:val="00867D2F"/>
    <w:rsid w:val="008704E1"/>
    <w:rsid w:val="008719AA"/>
    <w:rsid w:val="00871A88"/>
    <w:rsid w:val="00871D63"/>
    <w:rsid w:val="00871FF9"/>
    <w:rsid w:val="00872038"/>
    <w:rsid w:val="00872928"/>
    <w:rsid w:val="008735C5"/>
    <w:rsid w:val="00873A5A"/>
    <w:rsid w:val="00873D17"/>
    <w:rsid w:val="008752BF"/>
    <w:rsid w:val="0087644E"/>
    <w:rsid w:val="00876AE1"/>
    <w:rsid w:val="00876FAD"/>
    <w:rsid w:val="0087753A"/>
    <w:rsid w:val="008776AE"/>
    <w:rsid w:val="008778BE"/>
    <w:rsid w:val="00877C6E"/>
    <w:rsid w:val="00877CFA"/>
    <w:rsid w:val="00880DBB"/>
    <w:rsid w:val="00881597"/>
    <w:rsid w:val="0088199A"/>
    <w:rsid w:val="00881ADE"/>
    <w:rsid w:val="008823AB"/>
    <w:rsid w:val="0088290F"/>
    <w:rsid w:val="00882E7A"/>
    <w:rsid w:val="00882FD2"/>
    <w:rsid w:val="008832DD"/>
    <w:rsid w:val="00883495"/>
    <w:rsid w:val="00883C22"/>
    <w:rsid w:val="00884716"/>
    <w:rsid w:val="008850AC"/>
    <w:rsid w:val="0088534C"/>
    <w:rsid w:val="00885490"/>
    <w:rsid w:val="00886B17"/>
    <w:rsid w:val="00887114"/>
    <w:rsid w:val="0088751B"/>
    <w:rsid w:val="00887D0B"/>
    <w:rsid w:val="00890B74"/>
    <w:rsid w:val="00890B9B"/>
    <w:rsid w:val="00892949"/>
    <w:rsid w:val="00892E6B"/>
    <w:rsid w:val="008935EF"/>
    <w:rsid w:val="0089404B"/>
    <w:rsid w:val="008941E6"/>
    <w:rsid w:val="00894A7D"/>
    <w:rsid w:val="008951C8"/>
    <w:rsid w:val="0089524D"/>
    <w:rsid w:val="008952BD"/>
    <w:rsid w:val="00896272"/>
    <w:rsid w:val="0089633E"/>
    <w:rsid w:val="00896E04"/>
    <w:rsid w:val="00896F48"/>
    <w:rsid w:val="00897268"/>
    <w:rsid w:val="00897E38"/>
    <w:rsid w:val="00897EA1"/>
    <w:rsid w:val="008A0003"/>
    <w:rsid w:val="008A0FFE"/>
    <w:rsid w:val="008A1F4A"/>
    <w:rsid w:val="008A2C9B"/>
    <w:rsid w:val="008A2E21"/>
    <w:rsid w:val="008A3133"/>
    <w:rsid w:val="008A34C1"/>
    <w:rsid w:val="008A4413"/>
    <w:rsid w:val="008A4BDF"/>
    <w:rsid w:val="008A5C25"/>
    <w:rsid w:val="008A6DBB"/>
    <w:rsid w:val="008A763E"/>
    <w:rsid w:val="008B076E"/>
    <w:rsid w:val="008B088F"/>
    <w:rsid w:val="008B0BD5"/>
    <w:rsid w:val="008B0EBA"/>
    <w:rsid w:val="008B178D"/>
    <w:rsid w:val="008B18C2"/>
    <w:rsid w:val="008B1B99"/>
    <w:rsid w:val="008B1C1E"/>
    <w:rsid w:val="008B1DC4"/>
    <w:rsid w:val="008B273B"/>
    <w:rsid w:val="008B3E88"/>
    <w:rsid w:val="008B444C"/>
    <w:rsid w:val="008B4BC6"/>
    <w:rsid w:val="008B525A"/>
    <w:rsid w:val="008B548D"/>
    <w:rsid w:val="008B5826"/>
    <w:rsid w:val="008B5B02"/>
    <w:rsid w:val="008B5C23"/>
    <w:rsid w:val="008B5DC8"/>
    <w:rsid w:val="008B63F4"/>
    <w:rsid w:val="008B6AE0"/>
    <w:rsid w:val="008B6F8F"/>
    <w:rsid w:val="008B716C"/>
    <w:rsid w:val="008B7CC7"/>
    <w:rsid w:val="008B7E64"/>
    <w:rsid w:val="008C1103"/>
    <w:rsid w:val="008C1BC1"/>
    <w:rsid w:val="008C1CFF"/>
    <w:rsid w:val="008C44AD"/>
    <w:rsid w:val="008C4C56"/>
    <w:rsid w:val="008C50B4"/>
    <w:rsid w:val="008C6280"/>
    <w:rsid w:val="008C6CFF"/>
    <w:rsid w:val="008C6E66"/>
    <w:rsid w:val="008C7905"/>
    <w:rsid w:val="008D0B4F"/>
    <w:rsid w:val="008D1D51"/>
    <w:rsid w:val="008D2E6A"/>
    <w:rsid w:val="008D30B1"/>
    <w:rsid w:val="008D321F"/>
    <w:rsid w:val="008D345F"/>
    <w:rsid w:val="008D4199"/>
    <w:rsid w:val="008D420F"/>
    <w:rsid w:val="008D69A0"/>
    <w:rsid w:val="008D6FBF"/>
    <w:rsid w:val="008D7773"/>
    <w:rsid w:val="008D7882"/>
    <w:rsid w:val="008D7899"/>
    <w:rsid w:val="008D7A10"/>
    <w:rsid w:val="008E00BB"/>
    <w:rsid w:val="008E061D"/>
    <w:rsid w:val="008E0BE5"/>
    <w:rsid w:val="008E1021"/>
    <w:rsid w:val="008E1821"/>
    <w:rsid w:val="008E1A83"/>
    <w:rsid w:val="008E1F02"/>
    <w:rsid w:val="008E2204"/>
    <w:rsid w:val="008E3B24"/>
    <w:rsid w:val="008E4E9C"/>
    <w:rsid w:val="008E513F"/>
    <w:rsid w:val="008E57A9"/>
    <w:rsid w:val="008E5921"/>
    <w:rsid w:val="008E5B78"/>
    <w:rsid w:val="008E5DF4"/>
    <w:rsid w:val="008E61F6"/>
    <w:rsid w:val="008E6414"/>
    <w:rsid w:val="008E6EBF"/>
    <w:rsid w:val="008E7AB5"/>
    <w:rsid w:val="008E7B92"/>
    <w:rsid w:val="008E7DBF"/>
    <w:rsid w:val="008F0901"/>
    <w:rsid w:val="008F0D9C"/>
    <w:rsid w:val="008F0DEB"/>
    <w:rsid w:val="008F0E04"/>
    <w:rsid w:val="008F0F88"/>
    <w:rsid w:val="008F13C2"/>
    <w:rsid w:val="008F1748"/>
    <w:rsid w:val="008F1A4B"/>
    <w:rsid w:val="008F1B51"/>
    <w:rsid w:val="008F2135"/>
    <w:rsid w:val="008F2240"/>
    <w:rsid w:val="008F28E6"/>
    <w:rsid w:val="008F2D03"/>
    <w:rsid w:val="008F35C0"/>
    <w:rsid w:val="008F3EF3"/>
    <w:rsid w:val="008F502F"/>
    <w:rsid w:val="008F5485"/>
    <w:rsid w:val="008F56AC"/>
    <w:rsid w:val="008F5B2C"/>
    <w:rsid w:val="008F6640"/>
    <w:rsid w:val="008F6BB6"/>
    <w:rsid w:val="008F6E49"/>
    <w:rsid w:val="00900103"/>
    <w:rsid w:val="00900966"/>
    <w:rsid w:val="00901ABE"/>
    <w:rsid w:val="00901B79"/>
    <w:rsid w:val="00901F1B"/>
    <w:rsid w:val="00901F21"/>
    <w:rsid w:val="00902D56"/>
    <w:rsid w:val="009033A6"/>
    <w:rsid w:val="00903537"/>
    <w:rsid w:val="00903CDE"/>
    <w:rsid w:val="00903EAA"/>
    <w:rsid w:val="00904F1E"/>
    <w:rsid w:val="00906038"/>
    <w:rsid w:val="00906AE5"/>
    <w:rsid w:val="00907BDD"/>
    <w:rsid w:val="009104E4"/>
    <w:rsid w:val="00911A71"/>
    <w:rsid w:val="0091223A"/>
    <w:rsid w:val="00912B9C"/>
    <w:rsid w:val="00912BCB"/>
    <w:rsid w:val="00913AF8"/>
    <w:rsid w:val="00913E11"/>
    <w:rsid w:val="00913E75"/>
    <w:rsid w:val="00913F61"/>
    <w:rsid w:val="00914658"/>
    <w:rsid w:val="00915817"/>
    <w:rsid w:val="00915D29"/>
    <w:rsid w:val="009161ED"/>
    <w:rsid w:val="00916359"/>
    <w:rsid w:val="0091642A"/>
    <w:rsid w:val="00917A71"/>
    <w:rsid w:val="009216F2"/>
    <w:rsid w:val="009221C8"/>
    <w:rsid w:val="00922254"/>
    <w:rsid w:val="009222BE"/>
    <w:rsid w:val="009223C2"/>
    <w:rsid w:val="00922540"/>
    <w:rsid w:val="009234E6"/>
    <w:rsid w:val="0092398D"/>
    <w:rsid w:val="00923D6D"/>
    <w:rsid w:val="00924102"/>
    <w:rsid w:val="0092477B"/>
    <w:rsid w:val="009247C8"/>
    <w:rsid w:val="00925246"/>
    <w:rsid w:val="00925C99"/>
    <w:rsid w:val="00926854"/>
    <w:rsid w:val="00926B1A"/>
    <w:rsid w:val="00926E48"/>
    <w:rsid w:val="009275F9"/>
    <w:rsid w:val="00927614"/>
    <w:rsid w:val="0092770E"/>
    <w:rsid w:val="00927AAA"/>
    <w:rsid w:val="00927DBB"/>
    <w:rsid w:val="009303F7"/>
    <w:rsid w:val="00930638"/>
    <w:rsid w:val="00930832"/>
    <w:rsid w:val="00930CB1"/>
    <w:rsid w:val="0093146D"/>
    <w:rsid w:val="00931567"/>
    <w:rsid w:val="00931BEE"/>
    <w:rsid w:val="00931F5D"/>
    <w:rsid w:val="00932123"/>
    <w:rsid w:val="009321C2"/>
    <w:rsid w:val="009329E4"/>
    <w:rsid w:val="00932C3F"/>
    <w:rsid w:val="0093321A"/>
    <w:rsid w:val="009337F7"/>
    <w:rsid w:val="00933A3F"/>
    <w:rsid w:val="00933B2E"/>
    <w:rsid w:val="00933E11"/>
    <w:rsid w:val="00934072"/>
    <w:rsid w:val="009355DB"/>
    <w:rsid w:val="0093728B"/>
    <w:rsid w:val="009373F7"/>
    <w:rsid w:val="009376C4"/>
    <w:rsid w:val="009376F7"/>
    <w:rsid w:val="00937B79"/>
    <w:rsid w:val="009404C2"/>
    <w:rsid w:val="00940C24"/>
    <w:rsid w:val="00940ECF"/>
    <w:rsid w:val="00941596"/>
    <w:rsid w:val="009426F3"/>
    <w:rsid w:val="00942873"/>
    <w:rsid w:val="009435BD"/>
    <w:rsid w:val="00943697"/>
    <w:rsid w:val="009443B8"/>
    <w:rsid w:val="0094567F"/>
    <w:rsid w:val="00945FEE"/>
    <w:rsid w:val="00946006"/>
    <w:rsid w:val="00946568"/>
    <w:rsid w:val="009479B7"/>
    <w:rsid w:val="00947DFB"/>
    <w:rsid w:val="00952233"/>
    <w:rsid w:val="009533CD"/>
    <w:rsid w:val="00954FC2"/>
    <w:rsid w:val="009552C5"/>
    <w:rsid w:val="00955407"/>
    <w:rsid w:val="00955D07"/>
    <w:rsid w:val="0095623C"/>
    <w:rsid w:val="0095759E"/>
    <w:rsid w:val="00957796"/>
    <w:rsid w:val="0096022A"/>
    <w:rsid w:val="00960563"/>
    <w:rsid w:val="009610BF"/>
    <w:rsid w:val="0096152D"/>
    <w:rsid w:val="00961990"/>
    <w:rsid w:val="00961CEB"/>
    <w:rsid w:val="00962758"/>
    <w:rsid w:val="00963073"/>
    <w:rsid w:val="0096382F"/>
    <w:rsid w:val="00963A70"/>
    <w:rsid w:val="00963B24"/>
    <w:rsid w:val="00963ED4"/>
    <w:rsid w:val="00964D6C"/>
    <w:rsid w:val="00965851"/>
    <w:rsid w:val="00965B0B"/>
    <w:rsid w:val="009661CE"/>
    <w:rsid w:val="00966603"/>
    <w:rsid w:val="009707E9"/>
    <w:rsid w:val="009711E8"/>
    <w:rsid w:val="00971278"/>
    <w:rsid w:val="00971711"/>
    <w:rsid w:val="009721EB"/>
    <w:rsid w:val="00972210"/>
    <w:rsid w:val="00972614"/>
    <w:rsid w:val="0097264E"/>
    <w:rsid w:val="00972B16"/>
    <w:rsid w:val="00973594"/>
    <w:rsid w:val="00974B84"/>
    <w:rsid w:val="0097522B"/>
    <w:rsid w:val="00976B4B"/>
    <w:rsid w:val="00976DE0"/>
    <w:rsid w:val="009772D0"/>
    <w:rsid w:val="00977838"/>
    <w:rsid w:val="00980FDC"/>
    <w:rsid w:val="00981500"/>
    <w:rsid w:val="00981608"/>
    <w:rsid w:val="0098182B"/>
    <w:rsid w:val="00981D6F"/>
    <w:rsid w:val="00981F8A"/>
    <w:rsid w:val="00982DB9"/>
    <w:rsid w:val="00982E39"/>
    <w:rsid w:val="0098361B"/>
    <w:rsid w:val="009848DA"/>
    <w:rsid w:val="00984F93"/>
    <w:rsid w:val="00985052"/>
    <w:rsid w:val="00985268"/>
    <w:rsid w:val="00985566"/>
    <w:rsid w:val="00985EA6"/>
    <w:rsid w:val="00986429"/>
    <w:rsid w:val="0098655B"/>
    <w:rsid w:val="00986585"/>
    <w:rsid w:val="00986B1F"/>
    <w:rsid w:val="00987E10"/>
    <w:rsid w:val="00987F97"/>
    <w:rsid w:val="00990B4C"/>
    <w:rsid w:val="00990DCE"/>
    <w:rsid w:val="00991481"/>
    <w:rsid w:val="009915EF"/>
    <w:rsid w:val="00991701"/>
    <w:rsid w:val="00991C83"/>
    <w:rsid w:val="00991E1F"/>
    <w:rsid w:val="00991FCB"/>
    <w:rsid w:val="00992332"/>
    <w:rsid w:val="00992619"/>
    <w:rsid w:val="00994015"/>
    <w:rsid w:val="00994728"/>
    <w:rsid w:val="00994805"/>
    <w:rsid w:val="00994FE3"/>
    <w:rsid w:val="0099531F"/>
    <w:rsid w:val="00995712"/>
    <w:rsid w:val="00995BAF"/>
    <w:rsid w:val="00996149"/>
    <w:rsid w:val="0099673D"/>
    <w:rsid w:val="00997EA6"/>
    <w:rsid w:val="009A0275"/>
    <w:rsid w:val="009A0BF9"/>
    <w:rsid w:val="009A1329"/>
    <w:rsid w:val="009A18A1"/>
    <w:rsid w:val="009A2FCC"/>
    <w:rsid w:val="009A305B"/>
    <w:rsid w:val="009A334C"/>
    <w:rsid w:val="009A48BA"/>
    <w:rsid w:val="009A48EB"/>
    <w:rsid w:val="009A5824"/>
    <w:rsid w:val="009A59CE"/>
    <w:rsid w:val="009A5EB4"/>
    <w:rsid w:val="009A683C"/>
    <w:rsid w:val="009A6905"/>
    <w:rsid w:val="009A74DA"/>
    <w:rsid w:val="009A7A49"/>
    <w:rsid w:val="009A7B9F"/>
    <w:rsid w:val="009B054F"/>
    <w:rsid w:val="009B060C"/>
    <w:rsid w:val="009B0D26"/>
    <w:rsid w:val="009B0D99"/>
    <w:rsid w:val="009B0DAF"/>
    <w:rsid w:val="009B1815"/>
    <w:rsid w:val="009B1CC0"/>
    <w:rsid w:val="009B1E4E"/>
    <w:rsid w:val="009B302C"/>
    <w:rsid w:val="009B431D"/>
    <w:rsid w:val="009B4911"/>
    <w:rsid w:val="009B583E"/>
    <w:rsid w:val="009B6010"/>
    <w:rsid w:val="009B63F1"/>
    <w:rsid w:val="009B6767"/>
    <w:rsid w:val="009B6CFD"/>
    <w:rsid w:val="009B7009"/>
    <w:rsid w:val="009B78FD"/>
    <w:rsid w:val="009B7E25"/>
    <w:rsid w:val="009B7E48"/>
    <w:rsid w:val="009C01FC"/>
    <w:rsid w:val="009C0516"/>
    <w:rsid w:val="009C05D0"/>
    <w:rsid w:val="009C07D2"/>
    <w:rsid w:val="009C09E2"/>
    <w:rsid w:val="009C0BF7"/>
    <w:rsid w:val="009C1869"/>
    <w:rsid w:val="009C1B28"/>
    <w:rsid w:val="009C1EDC"/>
    <w:rsid w:val="009C2AEC"/>
    <w:rsid w:val="009C3226"/>
    <w:rsid w:val="009C3F7C"/>
    <w:rsid w:val="009C4CD7"/>
    <w:rsid w:val="009C5590"/>
    <w:rsid w:val="009C5BD2"/>
    <w:rsid w:val="009C6A0D"/>
    <w:rsid w:val="009C6C07"/>
    <w:rsid w:val="009C71A0"/>
    <w:rsid w:val="009C7CCC"/>
    <w:rsid w:val="009D0231"/>
    <w:rsid w:val="009D0A28"/>
    <w:rsid w:val="009D0FD6"/>
    <w:rsid w:val="009D153D"/>
    <w:rsid w:val="009D1647"/>
    <w:rsid w:val="009D1D27"/>
    <w:rsid w:val="009D1FCC"/>
    <w:rsid w:val="009D2791"/>
    <w:rsid w:val="009D34CA"/>
    <w:rsid w:val="009D370B"/>
    <w:rsid w:val="009D3850"/>
    <w:rsid w:val="009D3D61"/>
    <w:rsid w:val="009D3E71"/>
    <w:rsid w:val="009D4731"/>
    <w:rsid w:val="009D5672"/>
    <w:rsid w:val="009D61C5"/>
    <w:rsid w:val="009D6204"/>
    <w:rsid w:val="009D640D"/>
    <w:rsid w:val="009D6527"/>
    <w:rsid w:val="009D6950"/>
    <w:rsid w:val="009D71D7"/>
    <w:rsid w:val="009D747A"/>
    <w:rsid w:val="009D765C"/>
    <w:rsid w:val="009E04A2"/>
    <w:rsid w:val="009E0BC3"/>
    <w:rsid w:val="009E0BF3"/>
    <w:rsid w:val="009E0EA0"/>
    <w:rsid w:val="009E173F"/>
    <w:rsid w:val="009E2DC8"/>
    <w:rsid w:val="009E31BC"/>
    <w:rsid w:val="009E3664"/>
    <w:rsid w:val="009E41D7"/>
    <w:rsid w:val="009E4E6D"/>
    <w:rsid w:val="009E67EF"/>
    <w:rsid w:val="009E6A05"/>
    <w:rsid w:val="009E75BB"/>
    <w:rsid w:val="009F01B1"/>
    <w:rsid w:val="009F16ED"/>
    <w:rsid w:val="009F1719"/>
    <w:rsid w:val="009F2C4F"/>
    <w:rsid w:val="009F392B"/>
    <w:rsid w:val="009F3967"/>
    <w:rsid w:val="009F3B59"/>
    <w:rsid w:val="009F3F69"/>
    <w:rsid w:val="009F4F59"/>
    <w:rsid w:val="009F5339"/>
    <w:rsid w:val="009F5D7E"/>
    <w:rsid w:val="009F6176"/>
    <w:rsid w:val="009F6FB9"/>
    <w:rsid w:val="009F7422"/>
    <w:rsid w:val="009F7E5C"/>
    <w:rsid w:val="00A0006E"/>
    <w:rsid w:val="00A0124A"/>
    <w:rsid w:val="00A015EA"/>
    <w:rsid w:val="00A01B16"/>
    <w:rsid w:val="00A01CD4"/>
    <w:rsid w:val="00A021C4"/>
    <w:rsid w:val="00A03315"/>
    <w:rsid w:val="00A047F0"/>
    <w:rsid w:val="00A050AF"/>
    <w:rsid w:val="00A05599"/>
    <w:rsid w:val="00A05A7B"/>
    <w:rsid w:val="00A05B3A"/>
    <w:rsid w:val="00A05DE3"/>
    <w:rsid w:val="00A0693E"/>
    <w:rsid w:val="00A071B3"/>
    <w:rsid w:val="00A07218"/>
    <w:rsid w:val="00A0732A"/>
    <w:rsid w:val="00A074E2"/>
    <w:rsid w:val="00A1046A"/>
    <w:rsid w:val="00A1052E"/>
    <w:rsid w:val="00A10C4F"/>
    <w:rsid w:val="00A115E2"/>
    <w:rsid w:val="00A119DF"/>
    <w:rsid w:val="00A122F1"/>
    <w:rsid w:val="00A12308"/>
    <w:rsid w:val="00A12C20"/>
    <w:rsid w:val="00A13412"/>
    <w:rsid w:val="00A13680"/>
    <w:rsid w:val="00A13EEB"/>
    <w:rsid w:val="00A140B2"/>
    <w:rsid w:val="00A140CF"/>
    <w:rsid w:val="00A14313"/>
    <w:rsid w:val="00A1438A"/>
    <w:rsid w:val="00A152D4"/>
    <w:rsid w:val="00A167E5"/>
    <w:rsid w:val="00A1699B"/>
    <w:rsid w:val="00A170C2"/>
    <w:rsid w:val="00A17554"/>
    <w:rsid w:val="00A203E5"/>
    <w:rsid w:val="00A212A2"/>
    <w:rsid w:val="00A2170D"/>
    <w:rsid w:val="00A21B57"/>
    <w:rsid w:val="00A21D1C"/>
    <w:rsid w:val="00A21D36"/>
    <w:rsid w:val="00A21F52"/>
    <w:rsid w:val="00A22358"/>
    <w:rsid w:val="00A2258C"/>
    <w:rsid w:val="00A229A5"/>
    <w:rsid w:val="00A2311F"/>
    <w:rsid w:val="00A23D50"/>
    <w:rsid w:val="00A23E65"/>
    <w:rsid w:val="00A24CE3"/>
    <w:rsid w:val="00A24DDE"/>
    <w:rsid w:val="00A2532D"/>
    <w:rsid w:val="00A25AF7"/>
    <w:rsid w:val="00A263B3"/>
    <w:rsid w:val="00A26ED9"/>
    <w:rsid w:val="00A27007"/>
    <w:rsid w:val="00A27617"/>
    <w:rsid w:val="00A30597"/>
    <w:rsid w:val="00A30B37"/>
    <w:rsid w:val="00A30F27"/>
    <w:rsid w:val="00A31301"/>
    <w:rsid w:val="00A3154B"/>
    <w:rsid w:val="00A31C92"/>
    <w:rsid w:val="00A31EE3"/>
    <w:rsid w:val="00A3215F"/>
    <w:rsid w:val="00A32652"/>
    <w:rsid w:val="00A32896"/>
    <w:rsid w:val="00A32B1D"/>
    <w:rsid w:val="00A331F5"/>
    <w:rsid w:val="00A33B14"/>
    <w:rsid w:val="00A34228"/>
    <w:rsid w:val="00A35BAF"/>
    <w:rsid w:val="00A35CB7"/>
    <w:rsid w:val="00A35D07"/>
    <w:rsid w:val="00A36835"/>
    <w:rsid w:val="00A36B84"/>
    <w:rsid w:val="00A36F3D"/>
    <w:rsid w:val="00A37AD2"/>
    <w:rsid w:val="00A404ED"/>
    <w:rsid w:val="00A40980"/>
    <w:rsid w:val="00A40FA9"/>
    <w:rsid w:val="00A410A1"/>
    <w:rsid w:val="00A42F0F"/>
    <w:rsid w:val="00A430FD"/>
    <w:rsid w:val="00A434FE"/>
    <w:rsid w:val="00A43943"/>
    <w:rsid w:val="00A43C6D"/>
    <w:rsid w:val="00A445BA"/>
    <w:rsid w:val="00A4542B"/>
    <w:rsid w:val="00A46D06"/>
    <w:rsid w:val="00A46D57"/>
    <w:rsid w:val="00A471E8"/>
    <w:rsid w:val="00A4765C"/>
    <w:rsid w:val="00A47712"/>
    <w:rsid w:val="00A47D53"/>
    <w:rsid w:val="00A506C2"/>
    <w:rsid w:val="00A50803"/>
    <w:rsid w:val="00A50A38"/>
    <w:rsid w:val="00A51849"/>
    <w:rsid w:val="00A518CD"/>
    <w:rsid w:val="00A51BC3"/>
    <w:rsid w:val="00A51D37"/>
    <w:rsid w:val="00A52BDA"/>
    <w:rsid w:val="00A5356F"/>
    <w:rsid w:val="00A54C45"/>
    <w:rsid w:val="00A5515B"/>
    <w:rsid w:val="00A55A68"/>
    <w:rsid w:val="00A56318"/>
    <w:rsid w:val="00A5649C"/>
    <w:rsid w:val="00A56650"/>
    <w:rsid w:val="00A566FE"/>
    <w:rsid w:val="00A569F3"/>
    <w:rsid w:val="00A56C6A"/>
    <w:rsid w:val="00A60682"/>
    <w:rsid w:val="00A607E1"/>
    <w:rsid w:val="00A60F79"/>
    <w:rsid w:val="00A6164C"/>
    <w:rsid w:val="00A64951"/>
    <w:rsid w:val="00A64EBD"/>
    <w:rsid w:val="00A65305"/>
    <w:rsid w:val="00A6530E"/>
    <w:rsid w:val="00A656EA"/>
    <w:rsid w:val="00A65B56"/>
    <w:rsid w:val="00A65F6A"/>
    <w:rsid w:val="00A65FD2"/>
    <w:rsid w:val="00A664BD"/>
    <w:rsid w:val="00A66543"/>
    <w:rsid w:val="00A670B2"/>
    <w:rsid w:val="00A6737B"/>
    <w:rsid w:val="00A700FF"/>
    <w:rsid w:val="00A7020B"/>
    <w:rsid w:val="00A71802"/>
    <w:rsid w:val="00A71851"/>
    <w:rsid w:val="00A71C73"/>
    <w:rsid w:val="00A71D96"/>
    <w:rsid w:val="00A71E6C"/>
    <w:rsid w:val="00A71EB2"/>
    <w:rsid w:val="00A723F5"/>
    <w:rsid w:val="00A73442"/>
    <w:rsid w:val="00A735B1"/>
    <w:rsid w:val="00A73B81"/>
    <w:rsid w:val="00A73D1F"/>
    <w:rsid w:val="00A74019"/>
    <w:rsid w:val="00A74977"/>
    <w:rsid w:val="00A74F8E"/>
    <w:rsid w:val="00A750FC"/>
    <w:rsid w:val="00A754B7"/>
    <w:rsid w:val="00A764BA"/>
    <w:rsid w:val="00A76544"/>
    <w:rsid w:val="00A77784"/>
    <w:rsid w:val="00A7783E"/>
    <w:rsid w:val="00A803DE"/>
    <w:rsid w:val="00A8112F"/>
    <w:rsid w:val="00A8121D"/>
    <w:rsid w:val="00A82568"/>
    <w:rsid w:val="00A8257B"/>
    <w:rsid w:val="00A82632"/>
    <w:rsid w:val="00A826E1"/>
    <w:rsid w:val="00A82AE0"/>
    <w:rsid w:val="00A82D15"/>
    <w:rsid w:val="00A83501"/>
    <w:rsid w:val="00A835C9"/>
    <w:rsid w:val="00A83EA2"/>
    <w:rsid w:val="00A84594"/>
    <w:rsid w:val="00A848AF"/>
    <w:rsid w:val="00A84E50"/>
    <w:rsid w:val="00A85469"/>
    <w:rsid w:val="00A854DC"/>
    <w:rsid w:val="00A85B1B"/>
    <w:rsid w:val="00A85C79"/>
    <w:rsid w:val="00A8668C"/>
    <w:rsid w:val="00A866C4"/>
    <w:rsid w:val="00A8686B"/>
    <w:rsid w:val="00A869F0"/>
    <w:rsid w:val="00A877C7"/>
    <w:rsid w:val="00A90168"/>
    <w:rsid w:val="00A90306"/>
    <w:rsid w:val="00A9048F"/>
    <w:rsid w:val="00A90CA2"/>
    <w:rsid w:val="00A92314"/>
    <w:rsid w:val="00A93219"/>
    <w:rsid w:val="00A9400B"/>
    <w:rsid w:val="00A941F4"/>
    <w:rsid w:val="00A944C7"/>
    <w:rsid w:val="00A9482A"/>
    <w:rsid w:val="00A94EE2"/>
    <w:rsid w:val="00A95213"/>
    <w:rsid w:val="00A95F21"/>
    <w:rsid w:val="00A96C30"/>
    <w:rsid w:val="00A96D9F"/>
    <w:rsid w:val="00A96DBE"/>
    <w:rsid w:val="00A96E2D"/>
    <w:rsid w:val="00A9755D"/>
    <w:rsid w:val="00A97CB4"/>
    <w:rsid w:val="00AA0E20"/>
    <w:rsid w:val="00AA11BD"/>
    <w:rsid w:val="00AA1778"/>
    <w:rsid w:val="00AA17C3"/>
    <w:rsid w:val="00AA1C79"/>
    <w:rsid w:val="00AA1F50"/>
    <w:rsid w:val="00AA1F6F"/>
    <w:rsid w:val="00AA3396"/>
    <w:rsid w:val="00AA36D9"/>
    <w:rsid w:val="00AA3792"/>
    <w:rsid w:val="00AA41D1"/>
    <w:rsid w:val="00AA42D7"/>
    <w:rsid w:val="00AA46DE"/>
    <w:rsid w:val="00AA4C70"/>
    <w:rsid w:val="00AA5130"/>
    <w:rsid w:val="00AA62A4"/>
    <w:rsid w:val="00AA6B28"/>
    <w:rsid w:val="00AB0799"/>
    <w:rsid w:val="00AB25BF"/>
    <w:rsid w:val="00AB30AC"/>
    <w:rsid w:val="00AB30CC"/>
    <w:rsid w:val="00AB31F6"/>
    <w:rsid w:val="00AB3987"/>
    <w:rsid w:val="00AB4229"/>
    <w:rsid w:val="00AB4309"/>
    <w:rsid w:val="00AB46FC"/>
    <w:rsid w:val="00AB53CB"/>
    <w:rsid w:val="00AB59D6"/>
    <w:rsid w:val="00AB5A63"/>
    <w:rsid w:val="00AB5D78"/>
    <w:rsid w:val="00AB6C52"/>
    <w:rsid w:val="00AB770C"/>
    <w:rsid w:val="00AB790D"/>
    <w:rsid w:val="00AC08C7"/>
    <w:rsid w:val="00AC23C2"/>
    <w:rsid w:val="00AC28EA"/>
    <w:rsid w:val="00AC2BBB"/>
    <w:rsid w:val="00AC41D2"/>
    <w:rsid w:val="00AC4990"/>
    <w:rsid w:val="00AC4E3E"/>
    <w:rsid w:val="00AC518F"/>
    <w:rsid w:val="00AC536F"/>
    <w:rsid w:val="00AC5501"/>
    <w:rsid w:val="00AC56FC"/>
    <w:rsid w:val="00AC638C"/>
    <w:rsid w:val="00AC66E1"/>
    <w:rsid w:val="00AC69E6"/>
    <w:rsid w:val="00AC6A32"/>
    <w:rsid w:val="00AC6E67"/>
    <w:rsid w:val="00AC785C"/>
    <w:rsid w:val="00AC787B"/>
    <w:rsid w:val="00AC792C"/>
    <w:rsid w:val="00AC7EDA"/>
    <w:rsid w:val="00AD0642"/>
    <w:rsid w:val="00AD0C19"/>
    <w:rsid w:val="00AD0E70"/>
    <w:rsid w:val="00AD1505"/>
    <w:rsid w:val="00AD21B8"/>
    <w:rsid w:val="00AD22FD"/>
    <w:rsid w:val="00AD235A"/>
    <w:rsid w:val="00AD271D"/>
    <w:rsid w:val="00AD3544"/>
    <w:rsid w:val="00AD3891"/>
    <w:rsid w:val="00AD389E"/>
    <w:rsid w:val="00AD3EED"/>
    <w:rsid w:val="00AD4354"/>
    <w:rsid w:val="00AD44D1"/>
    <w:rsid w:val="00AD45B6"/>
    <w:rsid w:val="00AD4C93"/>
    <w:rsid w:val="00AD4D85"/>
    <w:rsid w:val="00AD4FDD"/>
    <w:rsid w:val="00AD5551"/>
    <w:rsid w:val="00AD55D7"/>
    <w:rsid w:val="00AD56F0"/>
    <w:rsid w:val="00AD586C"/>
    <w:rsid w:val="00AD5C7E"/>
    <w:rsid w:val="00AD5E8A"/>
    <w:rsid w:val="00AD63D5"/>
    <w:rsid w:val="00AD6678"/>
    <w:rsid w:val="00AD689F"/>
    <w:rsid w:val="00AD6A0F"/>
    <w:rsid w:val="00AD6BC4"/>
    <w:rsid w:val="00AD70D9"/>
    <w:rsid w:val="00AD7256"/>
    <w:rsid w:val="00AD7F74"/>
    <w:rsid w:val="00AE0B22"/>
    <w:rsid w:val="00AE0F9A"/>
    <w:rsid w:val="00AE1435"/>
    <w:rsid w:val="00AE29EF"/>
    <w:rsid w:val="00AE3516"/>
    <w:rsid w:val="00AE3870"/>
    <w:rsid w:val="00AE436A"/>
    <w:rsid w:val="00AE57A3"/>
    <w:rsid w:val="00AE5D11"/>
    <w:rsid w:val="00AE7283"/>
    <w:rsid w:val="00AE73E4"/>
    <w:rsid w:val="00AE7629"/>
    <w:rsid w:val="00AF0146"/>
    <w:rsid w:val="00AF0599"/>
    <w:rsid w:val="00AF07D0"/>
    <w:rsid w:val="00AF1670"/>
    <w:rsid w:val="00AF1992"/>
    <w:rsid w:val="00AF2092"/>
    <w:rsid w:val="00AF3704"/>
    <w:rsid w:val="00AF3943"/>
    <w:rsid w:val="00AF427E"/>
    <w:rsid w:val="00AF6F80"/>
    <w:rsid w:val="00AF7C52"/>
    <w:rsid w:val="00AF7C67"/>
    <w:rsid w:val="00B00E75"/>
    <w:rsid w:val="00B012E3"/>
    <w:rsid w:val="00B0195F"/>
    <w:rsid w:val="00B019DD"/>
    <w:rsid w:val="00B01A17"/>
    <w:rsid w:val="00B01DAB"/>
    <w:rsid w:val="00B02834"/>
    <w:rsid w:val="00B0353E"/>
    <w:rsid w:val="00B03A26"/>
    <w:rsid w:val="00B03DB7"/>
    <w:rsid w:val="00B03E9A"/>
    <w:rsid w:val="00B04E54"/>
    <w:rsid w:val="00B0523D"/>
    <w:rsid w:val="00B0571D"/>
    <w:rsid w:val="00B0770F"/>
    <w:rsid w:val="00B0789A"/>
    <w:rsid w:val="00B07BAA"/>
    <w:rsid w:val="00B10090"/>
    <w:rsid w:val="00B10330"/>
    <w:rsid w:val="00B10B02"/>
    <w:rsid w:val="00B110CD"/>
    <w:rsid w:val="00B116B7"/>
    <w:rsid w:val="00B12088"/>
    <w:rsid w:val="00B12458"/>
    <w:rsid w:val="00B13965"/>
    <w:rsid w:val="00B14672"/>
    <w:rsid w:val="00B15450"/>
    <w:rsid w:val="00B15998"/>
    <w:rsid w:val="00B15E39"/>
    <w:rsid w:val="00B15EEA"/>
    <w:rsid w:val="00B1780D"/>
    <w:rsid w:val="00B179B9"/>
    <w:rsid w:val="00B179D8"/>
    <w:rsid w:val="00B17E2B"/>
    <w:rsid w:val="00B2019C"/>
    <w:rsid w:val="00B21474"/>
    <w:rsid w:val="00B21C35"/>
    <w:rsid w:val="00B21C5B"/>
    <w:rsid w:val="00B22114"/>
    <w:rsid w:val="00B22F73"/>
    <w:rsid w:val="00B256FD"/>
    <w:rsid w:val="00B257F8"/>
    <w:rsid w:val="00B26CFB"/>
    <w:rsid w:val="00B26D3D"/>
    <w:rsid w:val="00B27F37"/>
    <w:rsid w:val="00B30299"/>
    <w:rsid w:val="00B32547"/>
    <w:rsid w:val="00B32780"/>
    <w:rsid w:val="00B32A0E"/>
    <w:rsid w:val="00B32B0F"/>
    <w:rsid w:val="00B334A1"/>
    <w:rsid w:val="00B3422B"/>
    <w:rsid w:val="00B3437C"/>
    <w:rsid w:val="00B34EFA"/>
    <w:rsid w:val="00B35496"/>
    <w:rsid w:val="00B35743"/>
    <w:rsid w:val="00B35A31"/>
    <w:rsid w:val="00B36029"/>
    <w:rsid w:val="00B3654E"/>
    <w:rsid w:val="00B36E9A"/>
    <w:rsid w:val="00B37337"/>
    <w:rsid w:val="00B376A1"/>
    <w:rsid w:val="00B37E5F"/>
    <w:rsid w:val="00B40098"/>
    <w:rsid w:val="00B423BC"/>
    <w:rsid w:val="00B44F7B"/>
    <w:rsid w:val="00B45634"/>
    <w:rsid w:val="00B45E7D"/>
    <w:rsid w:val="00B4610C"/>
    <w:rsid w:val="00B46E3F"/>
    <w:rsid w:val="00B4729C"/>
    <w:rsid w:val="00B479EC"/>
    <w:rsid w:val="00B47E3F"/>
    <w:rsid w:val="00B50807"/>
    <w:rsid w:val="00B50A64"/>
    <w:rsid w:val="00B50B19"/>
    <w:rsid w:val="00B51199"/>
    <w:rsid w:val="00B51BD5"/>
    <w:rsid w:val="00B51D72"/>
    <w:rsid w:val="00B51F37"/>
    <w:rsid w:val="00B5291A"/>
    <w:rsid w:val="00B5365A"/>
    <w:rsid w:val="00B5455E"/>
    <w:rsid w:val="00B547E6"/>
    <w:rsid w:val="00B553F7"/>
    <w:rsid w:val="00B55BE4"/>
    <w:rsid w:val="00B56721"/>
    <w:rsid w:val="00B56A9B"/>
    <w:rsid w:val="00B57932"/>
    <w:rsid w:val="00B57C12"/>
    <w:rsid w:val="00B6006F"/>
    <w:rsid w:val="00B610A0"/>
    <w:rsid w:val="00B61463"/>
    <w:rsid w:val="00B618D1"/>
    <w:rsid w:val="00B61CB4"/>
    <w:rsid w:val="00B61D9E"/>
    <w:rsid w:val="00B61E40"/>
    <w:rsid w:val="00B61F6A"/>
    <w:rsid w:val="00B6220F"/>
    <w:rsid w:val="00B62AFB"/>
    <w:rsid w:val="00B63270"/>
    <w:rsid w:val="00B636D0"/>
    <w:rsid w:val="00B6388F"/>
    <w:rsid w:val="00B6439A"/>
    <w:rsid w:val="00B64D29"/>
    <w:rsid w:val="00B64EB8"/>
    <w:rsid w:val="00B65616"/>
    <w:rsid w:val="00B6566C"/>
    <w:rsid w:val="00B6648A"/>
    <w:rsid w:val="00B6669E"/>
    <w:rsid w:val="00B668F2"/>
    <w:rsid w:val="00B66A1E"/>
    <w:rsid w:val="00B66ADC"/>
    <w:rsid w:val="00B66ED6"/>
    <w:rsid w:val="00B700B1"/>
    <w:rsid w:val="00B712F7"/>
    <w:rsid w:val="00B71AC1"/>
    <w:rsid w:val="00B722D5"/>
    <w:rsid w:val="00B7244C"/>
    <w:rsid w:val="00B73177"/>
    <w:rsid w:val="00B736B5"/>
    <w:rsid w:val="00B73E0D"/>
    <w:rsid w:val="00B73FE8"/>
    <w:rsid w:val="00B74D3F"/>
    <w:rsid w:val="00B7521A"/>
    <w:rsid w:val="00B75CD5"/>
    <w:rsid w:val="00B763B5"/>
    <w:rsid w:val="00B76730"/>
    <w:rsid w:val="00B767CD"/>
    <w:rsid w:val="00B76A94"/>
    <w:rsid w:val="00B774A3"/>
    <w:rsid w:val="00B779DE"/>
    <w:rsid w:val="00B77F56"/>
    <w:rsid w:val="00B80628"/>
    <w:rsid w:val="00B80E85"/>
    <w:rsid w:val="00B80F64"/>
    <w:rsid w:val="00B81805"/>
    <w:rsid w:val="00B819E3"/>
    <w:rsid w:val="00B81B23"/>
    <w:rsid w:val="00B8249B"/>
    <w:rsid w:val="00B83DB7"/>
    <w:rsid w:val="00B83F63"/>
    <w:rsid w:val="00B84601"/>
    <w:rsid w:val="00B85313"/>
    <w:rsid w:val="00B86E08"/>
    <w:rsid w:val="00B874B2"/>
    <w:rsid w:val="00B877CD"/>
    <w:rsid w:val="00B9010E"/>
    <w:rsid w:val="00B90205"/>
    <w:rsid w:val="00B90543"/>
    <w:rsid w:val="00B9134F"/>
    <w:rsid w:val="00B913D5"/>
    <w:rsid w:val="00B9226C"/>
    <w:rsid w:val="00B93420"/>
    <w:rsid w:val="00B9368A"/>
    <w:rsid w:val="00B93783"/>
    <w:rsid w:val="00B94549"/>
    <w:rsid w:val="00B952A7"/>
    <w:rsid w:val="00B952F0"/>
    <w:rsid w:val="00B9587C"/>
    <w:rsid w:val="00B9623B"/>
    <w:rsid w:val="00B966B9"/>
    <w:rsid w:val="00B9674D"/>
    <w:rsid w:val="00B967DD"/>
    <w:rsid w:val="00B96A29"/>
    <w:rsid w:val="00B974E7"/>
    <w:rsid w:val="00BA1074"/>
    <w:rsid w:val="00BA167C"/>
    <w:rsid w:val="00BA23C6"/>
    <w:rsid w:val="00BA3524"/>
    <w:rsid w:val="00BA3E5B"/>
    <w:rsid w:val="00BA3F04"/>
    <w:rsid w:val="00BA43CE"/>
    <w:rsid w:val="00BA48D6"/>
    <w:rsid w:val="00BA518B"/>
    <w:rsid w:val="00BA58D1"/>
    <w:rsid w:val="00BA621D"/>
    <w:rsid w:val="00BA62F2"/>
    <w:rsid w:val="00BA6543"/>
    <w:rsid w:val="00BA692C"/>
    <w:rsid w:val="00BB0800"/>
    <w:rsid w:val="00BB08EA"/>
    <w:rsid w:val="00BB10DC"/>
    <w:rsid w:val="00BB1480"/>
    <w:rsid w:val="00BB1825"/>
    <w:rsid w:val="00BB183B"/>
    <w:rsid w:val="00BB1BEA"/>
    <w:rsid w:val="00BB1E47"/>
    <w:rsid w:val="00BB22EC"/>
    <w:rsid w:val="00BB2465"/>
    <w:rsid w:val="00BB3105"/>
    <w:rsid w:val="00BB3477"/>
    <w:rsid w:val="00BB413A"/>
    <w:rsid w:val="00BB4BEB"/>
    <w:rsid w:val="00BB5242"/>
    <w:rsid w:val="00BB5E25"/>
    <w:rsid w:val="00BB6DFB"/>
    <w:rsid w:val="00BB6E7C"/>
    <w:rsid w:val="00BB7546"/>
    <w:rsid w:val="00BB769B"/>
    <w:rsid w:val="00BB7BB8"/>
    <w:rsid w:val="00BB7E37"/>
    <w:rsid w:val="00BC0680"/>
    <w:rsid w:val="00BC1946"/>
    <w:rsid w:val="00BC1DF9"/>
    <w:rsid w:val="00BC1EDD"/>
    <w:rsid w:val="00BC31A5"/>
    <w:rsid w:val="00BC32CB"/>
    <w:rsid w:val="00BC388F"/>
    <w:rsid w:val="00BC4FED"/>
    <w:rsid w:val="00BC5205"/>
    <w:rsid w:val="00BC5792"/>
    <w:rsid w:val="00BC5DAA"/>
    <w:rsid w:val="00BC5F5E"/>
    <w:rsid w:val="00BC6A21"/>
    <w:rsid w:val="00BC6B31"/>
    <w:rsid w:val="00BC6EC1"/>
    <w:rsid w:val="00BD1397"/>
    <w:rsid w:val="00BD178D"/>
    <w:rsid w:val="00BD20EB"/>
    <w:rsid w:val="00BD2251"/>
    <w:rsid w:val="00BD24E5"/>
    <w:rsid w:val="00BD2C01"/>
    <w:rsid w:val="00BD327A"/>
    <w:rsid w:val="00BD35DB"/>
    <w:rsid w:val="00BD3AA3"/>
    <w:rsid w:val="00BD5AB0"/>
    <w:rsid w:val="00BD6AAE"/>
    <w:rsid w:val="00BD6B6E"/>
    <w:rsid w:val="00BD7A64"/>
    <w:rsid w:val="00BE00C5"/>
    <w:rsid w:val="00BE0FB9"/>
    <w:rsid w:val="00BE1939"/>
    <w:rsid w:val="00BE1C6A"/>
    <w:rsid w:val="00BE220C"/>
    <w:rsid w:val="00BE2C33"/>
    <w:rsid w:val="00BE378F"/>
    <w:rsid w:val="00BE3904"/>
    <w:rsid w:val="00BE4A02"/>
    <w:rsid w:val="00BE7A45"/>
    <w:rsid w:val="00BE7BD7"/>
    <w:rsid w:val="00BE7DC8"/>
    <w:rsid w:val="00BF0995"/>
    <w:rsid w:val="00BF1BFF"/>
    <w:rsid w:val="00BF1DA8"/>
    <w:rsid w:val="00BF1E68"/>
    <w:rsid w:val="00BF2223"/>
    <w:rsid w:val="00BF2261"/>
    <w:rsid w:val="00BF45AB"/>
    <w:rsid w:val="00BF461D"/>
    <w:rsid w:val="00BF49B7"/>
    <w:rsid w:val="00BF4B6F"/>
    <w:rsid w:val="00BF4B9F"/>
    <w:rsid w:val="00BF59FE"/>
    <w:rsid w:val="00BF602F"/>
    <w:rsid w:val="00BF6078"/>
    <w:rsid w:val="00BF607D"/>
    <w:rsid w:val="00BF6299"/>
    <w:rsid w:val="00BF6AA8"/>
    <w:rsid w:val="00BF7447"/>
    <w:rsid w:val="00BF7987"/>
    <w:rsid w:val="00C00351"/>
    <w:rsid w:val="00C01572"/>
    <w:rsid w:val="00C0165A"/>
    <w:rsid w:val="00C01C8B"/>
    <w:rsid w:val="00C0220E"/>
    <w:rsid w:val="00C031BA"/>
    <w:rsid w:val="00C031DD"/>
    <w:rsid w:val="00C04508"/>
    <w:rsid w:val="00C04D44"/>
    <w:rsid w:val="00C0596C"/>
    <w:rsid w:val="00C05FE1"/>
    <w:rsid w:val="00C070AE"/>
    <w:rsid w:val="00C07799"/>
    <w:rsid w:val="00C07C00"/>
    <w:rsid w:val="00C07F17"/>
    <w:rsid w:val="00C101BE"/>
    <w:rsid w:val="00C108EF"/>
    <w:rsid w:val="00C10C98"/>
    <w:rsid w:val="00C10DAB"/>
    <w:rsid w:val="00C12084"/>
    <w:rsid w:val="00C12BE1"/>
    <w:rsid w:val="00C12C77"/>
    <w:rsid w:val="00C13664"/>
    <w:rsid w:val="00C14465"/>
    <w:rsid w:val="00C14729"/>
    <w:rsid w:val="00C152FD"/>
    <w:rsid w:val="00C15FD0"/>
    <w:rsid w:val="00C1712C"/>
    <w:rsid w:val="00C209F7"/>
    <w:rsid w:val="00C20CB3"/>
    <w:rsid w:val="00C21813"/>
    <w:rsid w:val="00C21CCC"/>
    <w:rsid w:val="00C22460"/>
    <w:rsid w:val="00C22AD0"/>
    <w:rsid w:val="00C2333D"/>
    <w:rsid w:val="00C2357E"/>
    <w:rsid w:val="00C248EF"/>
    <w:rsid w:val="00C24A33"/>
    <w:rsid w:val="00C24CBC"/>
    <w:rsid w:val="00C25410"/>
    <w:rsid w:val="00C25432"/>
    <w:rsid w:val="00C25AF1"/>
    <w:rsid w:val="00C26589"/>
    <w:rsid w:val="00C26F44"/>
    <w:rsid w:val="00C276AC"/>
    <w:rsid w:val="00C277C4"/>
    <w:rsid w:val="00C27DA0"/>
    <w:rsid w:val="00C30046"/>
    <w:rsid w:val="00C301F4"/>
    <w:rsid w:val="00C30E80"/>
    <w:rsid w:val="00C30F5C"/>
    <w:rsid w:val="00C31006"/>
    <w:rsid w:val="00C31647"/>
    <w:rsid w:val="00C317B9"/>
    <w:rsid w:val="00C319E9"/>
    <w:rsid w:val="00C32005"/>
    <w:rsid w:val="00C3232A"/>
    <w:rsid w:val="00C3247E"/>
    <w:rsid w:val="00C3259B"/>
    <w:rsid w:val="00C32897"/>
    <w:rsid w:val="00C3297D"/>
    <w:rsid w:val="00C3298A"/>
    <w:rsid w:val="00C329FC"/>
    <w:rsid w:val="00C32A57"/>
    <w:rsid w:val="00C32B9C"/>
    <w:rsid w:val="00C32D30"/>
    <w:rsid w:val="00C33303"/>
    <w:rsid w:val="00C3367D"/>
    <w:rsid w:val="00C34252"/>
    <w:rsid w:val="00C34796"/>
    <w:rsid w:val="00C35842"/>
    <w:rsid w:val="00C358F0"/>
    <w:rsid w:val="00C36027"/>
    <w:rsid w:val="00C36CEA"/>
    <w:rsid w:val="00C36D44"/>
    <w:rsid w:val="00C3757B"/>
    <w:rsid w:val="00C37D0F"/>
    <w:rsid w:val="00C37D4B"/>
    <w:rsid w:val="00C400BB"/>
    <w:rsid w:val="00C40507"/>
    <w:rsid w:val="00C412C1"/>
    <w:rsid w:val="00C41522"/>
    <w:rsid w:val="00C417AE"/>
    <w:rsid w:val="00C4182B"/>
    <w:rsid w:val="00C41868"/>
    <w:rsid w:val="00C42FC7"/>
    <w:rsid w:val="00C44055"/>
    <w:rsid w:val="00C44A83"/>
    <w:rsid w:val="00C44B26"/>
    <w:rsid w:val="00C4529F"/>
    <w:rsid w:val="00C452C5"/>
    <w:rsid w:val="00C4567E"/>
    <w:rsid w:val="00C45B6C"/>
    <w:rsid w:val="00C47CD9"/>
    <w:rsid w:val="00C47D35"/>
    <w:rsid w:val="00C47DA2"/>
    <w:rsid w:val="00C47E59"/>
    <w:rsid w:val="00C504D7"/>
    <w:rsid w:val="00C508D5"/>
    <w:rsid w:val="00C5130F"/>
    <w:rsid w:val="00C52754"/>
    <w:rsid w:val="00C53208"/>
    <w:rsid w:val="00C535AA"/>
    <w:rsid w:val="00C5363D"/>
    <w:rsid w:val="00C538AF"/>
    <w:rsid w:val="00C53E99"/>
    <w:rsid w:val="00C543CB"/>
    <w:rsid w:val="00C54719"/>
    <w:rsid w:val="00C54FBC"/>
    <w:rsid w:val="00C550F7"/>
    <w:rsid w:val="00C5534C"/>
    <w:rsid w:val="00C555F7"/>
    <w:rsid w:val="00C55D5E"/>
    <w:rsid w:val="00C56134"/>
    <w:rsid w:val="00C57307"/>
    <w:rsid w:val="00C60D35"/>
    <w:rsid w:val="00C61328"/>
    <w:rsid w:val="00C616E9"/>
    <w:rsid w:val="00C618A9"/>
    <w:rsid w:val="00C619C3"/>
    <w:rsid w:val="00C61C41"/>
    <w:rsid w:val="00C62578"/>
    <w:rsid w:val="00C630F8"/>
    <w:rsid w:val="00C630FD"/>
    <w:rsid w:val="00C63675"/>
    <w:rsid w:val="00C639D2"/>
    <w:rsid w:val="00C63CD1"/>
    <w:rsid w:val="00C64800"/>
    <w:rsid w:val="00C64973"/>
    <w:rsid w:val="00C64D07"/>
    <w:rsid w:val="00C6529A"/>
    <w:rsid w:val="00C652C6"/>
    <w:rsid w:val="00C666E2"/>
    <w:rsid w:val="00C66A09"/>
    <w:rsid w:val="00C676D1"/>
    <w:rsid w:val="00C67A40"/>
    <w:rsid w:val="00C70613"/>
    <w:rsid w:val="00C711D2"/>
    <w:rsid w:val="00C7154A"/>
    <w:rsid w:val="00C71C54"/>
    <w:rsid w:val="00C72066"/>
    <w:rsid w:val="00C7238A"/>
    <w:rsid w:val="00C726A2"/>
    <w:rsid w:val="00C72A4F"/>
    <w:rsid w:val="00C72B98"/>
    <w:rsid w:val="00C737B1"/>
    <w:rsid w:val="00C740FE"/>
    <w:rsid w:val="00C74246"/>
    <w:rsid w:val="00C74328"/>
    <w:rsid w:val="00C74472"/>
    <w:rsid w:val="00C74ADB"/>
    <w:rsid w:val="00C74E77"/>
    <w:rsid w:val="00C750BF"/>
    <w:rsid w:val="00C76AF6"/>
    <w:rsid w:val="00C80A44"/>
    <w:rsid w:val="00C80B7D"/>
    <w:rsid w:val="00C80FF7"/>
    <w:rsid w:val="00C8247E"/>
    <w:rsid w:val="00C83B1B"/>
    <w:rsid w:val="00C83C36"/>
    <w:rsid w:val="00C846D9"/>
    <w:rsid w:val="00C846F9"/>
    <w:rsid w:val="00C84CE5"/>
    <w:rsid w:val="00C85A7E"/>
    <w:rsid w:val="00C8622C"/>
    <w:rsid w:val="00C8752B"/>
    <w:rsid w:val="00C87582"/>
    <w:rsid w:val="00C87771"/>
    <w:rsid w:val="00C91000"/>
    <w:rsid w:val="00C91554"/>
    <w:rsid w:val="00C927D0"/>
    <w:rsid w:val="00C927E1"/>
    <w:rsid w:val="00C92E57"/>
    <w:rsid w:val="00C930DB"/>
    <w:rsid w:val="00C9364A"/>
    <w:rsid w:val="00C939E0"/>
    <w:rsid w:val="00C93F4F"/>
    <w:rsid w:val="00C94472"/>
    <w:rsid w:val="00C951D1"/>
    <w:rsid w:val="00C957C3"/>
    <w:rsid w:val="00C95B25"/>
    <w:rsid w:val="00C95E9D"/>
    <w:rsid w:val="00C95EBE"/>
    <w:rsid w:val="00C96AAF"/>
    <w:rsid w:val="00C96B74"/>
    <w:rsid w:val="00C96DE8"/>
    <w:rsid w:val="00C97612"/>
    <w:rsid w:val="00CA1EFF"/>
    <w:rsid w:val="00CA20B1"/>
    <w:rsid w:val="00CA2266"/>
    <w:rsid w:val="00CA346A"/>
    <w:rsid w:val="00CA3AB8"/>
    <w:rsid w:val="00CA408C"/>
    <w:rsid w:val="00CA56DC"/>
    <w:rsid w:val="00CA5995"/>
    <w:rsid w:val="00CA5AD3"/>
    <w:rsid w:val="00CA5D6D"/>
    <w:rsid w:val="00CB0729"/>
    <w:rsid w:val="00CB0A6C"/>
    <w:rsid w:val="00CB0C31"/>
    <w:rsid w:val="00CB0E14"/>
    <w:rsid w:val="00CB118E"/>
    <w:rsid w:val="00CB18FC"/>
    <w:rsid w:val="00CB2BEE"/>
    <w:rsid w:val="00CB30D7"/>
    <w:rsid w:val="00CB32CC"/>
    <w:rsid w:val="00CB36E5"/>
    <w:rsid w:val="00CB48FA"/>
    <w:rsid w:val="00CB53BB"/>
    <w:rsid w:val="00CB5F17"/>
    <w:rsid w:val="00CB6900"/>
    <w:rsid w:val="00CB6E87"/>
    <w:rsid w:val="00CB723D"/>
    <w:rsid w:val="00CB7BDE"/>
    <w:rsid w:val="00CC0176"/>
    <w:rsid w:val="00CC0531"/>
    <w:rsid w:val="00CC0FCF"/>
    <w:rsid w:val="00CC115C"/>
    <w:rsid w:val="00CC269B"/>
    <w:rsid w:val="00CC26E5"/>
    <w:rsid w:val="00CC2B38"/>
    <w:rsid w:val="00CC2D6F"/>
    <w:rsid w:val="00CC2EF9"/>
    <w:rsid w:val="00CC3AF0"/>
    <w:rsid w:val="00CC4079"/>
    <w:rsid w:val="00CC413D"/>
    <w:rsid w:val="00CC42C0"/>
    <w:rsid w:val="00CC44F3"/>
    <w:rsid w:val="00CC5AF6"/>
    <w:rsid w:val="00CC5D45"/>
    <w:rsid w:val="00CC67C2"/>
    <w:rsid w:val="00CC744D"/>
    <w:rsid w:val="00CC762F"/>
    <w:rsid w:val="00CC76B6"/>
    <w:rsid w:val="00CC78ED"/>
    <w:rsid w:val="00CC7CC9"/>
    <w:rsid w:val="00CD0851"/>
    <w:rsid w:val="00CD0A41"/>
    <w:rsid w:val="00CD1009"/>
    <w:rsid w:val="00CD25D8"/>
    <w:rsid w:val="00CD3043"/>
    <w:rsid w:val="00CD33D6"/>
    <w:rsid w:val="00CD354D"/>
    <w:rsid w:val="00CD42A7"/>
    <w:rsid w:val="00CD4FCF"/>
    <w:rsid w:val="00CD525C"/>
    <w:rsid w:val="00CD58E4"/>
    <w:rsid w:val="00CD6752"/>
    <w:rsid w:val="00CD694D"/>
    <w:rsid w:val="00CD6A91"/>
    <w:rsid w:val="00CD6D94"/>
    <w:rsid w:val="00CD6FB1"/>
    <w:rsid w:val="00CD7647"/>
    <w:rsid w:val="00CD7B38"/>
    <w:rsid w:val="00CE000A"/>
    <w:rsid w:val="00CE0871"/>
    <w:rsid w:val="00CE0C64"/>
    <w:rsid w:val="00CE1164"/>
    <w:rsid w:val="00CE13C1"/>
    <w:rsid w:val="00CE14EE"/>
    <w:rsid w:val="00CE2961"/>
    <w:rsid w:val="00CE360C"/>
    <w:rsid w:val="00CE3BC1"/>
    <w:rsid w:val="00CE3CB5"/>
    <w:rsid w:val="00CE3D1B"/>
    <w:rsid w:val="00CE488B"/>
    <w:rsid w:val="00CE4B88"/>
    <w:rsid w:val="00CE5907"/>
    <w:rsid w:val="00CE5F92"/>
    <w:rsid w:val="00CE6A36"/>
    <w:rsid w:val="00CE6FC1"/>
    <w:rsid w:val="00CE7809"/>
    <w:rsid w:val="00CE7CE9"/>
    <w:rsid w:val="00CE7D6F"/>
    <w:rsid w:val="00CF0C98"/>
    <w:rsid w:val="00CF153C"/>
    <w:rsid w:val="00CF2193"/>
    <w:rsid w:val="00CF25F8"/>
    <w:rsid w:val="00CF2FFF"/>
    <w:rsid w:val="00CF33C6"/>
    <w:rsid w:val="00CF387F"/>
    <w:rsid w:val="00CF433A"/>
    <w:rsid w:val="00CF4558"/>
    <w:rsid w:val="00CF5682"/>
    <w:rsid w:val="00CF6D50"/>
    <w:rsid w:val="00CF6EA2"/>
    <w:rsid w:val="00CF70D3"/>
    <w:rsid w:val="00CF7260"/>
    <w:rsid w:val="00CF767C"/>
    <w:rsid w:val="00D018BD"/>
    <w:rsid w:val="00D01A6E"/>
    <w:rsid w:val="00D01EC8"/>
    <w:rsid w:val="00D029B8"/>
    <w:rsid w:val="00D02C4C"/>
    <w:rsid w:val="00D02D9F"/>
    <w:rsid w:val="00D02DAD"/>
    <w:rsid w:val="00D02DF0"/>
    <w:rsid w:val="00D02F6C"/>
    <w:rsid w:val="00D03CA1"/>
    <w:rsid w:val="00D03F14"/>
    <w:rsid w:val="00D05256"/>
    <w:rsid w:val="00D056AD"/>
    <w:rsid w:val="00D05C69"/>
    <w:rsid w:val="00D05E4E"/>
    <w:rsid w:val="00D066C5"/>
    <w:rsid w:val="00D06E59"/>
    <w:rsid w:val="00D07511"/>
    <w:rsid w:val="00D07748"/>
    <w:rsid w:val="00D079EB"/>
    <w:rsid w:val="00D07C0B"/>
    <w:rsid w:val="00D105A8"/>
    <w:rsid w:val="00D106C5"/>
    <w:rsid w:val="00D11E85"/>
    <w:rsid w:val="00D12814"/>
    <w:rsid w:val="00D1282B"/>
    <w:rsid w:val="00D1303F"/>
    <w:rsid w:val="00D13EF0"/>
    <w:rsid w:val="00D14282"/>
    <w:rsid w:val="00D15837"/>
    <w:rsid w:val="00D16ABA"/>
    <w:rsid w:val="00D179F6"/>
    <w:rsid w:val="00D17FBC"/>
    <w:rsid w:val="00D20005"/>
    <w:rsid w:val="00D202F9"/>
    <w:rsid w:val="00D20CC0"/>
    <w:rsid w:val="00D2184A"/>
    <w:rsid w:val="00D21C21"/>
    <w:rsid w:val="00D21DC2"/>
    <w:rsid w:val="00D225A4"/>
    <w:rsid w:val="00D22AA7"/>
    <w:rsid w:val="00D22CC3"/>
    <w:rsid w:val="00D239C0"/>
    <w:rsid w:val="00D24031"/>
    <w:rsid w:val="00D2445D"/>
    <w:rsid w:val="00D257D6"/>
    <w:rsid w:val="00D25D8C"/>
    <w:rsid w:val="00D25EE8"/>
    <w:rsid w:val="00D25FC2"/>
    <w:rsid w:val="00D2617A"/>
    <w:rsid w:val="00D264A7"/>
    <w:rsid w:val="00D26700"/>
    <w:rsid w:val="00D26BB0"/>
    <w:rsid w:val="00D270BB"/>
    <w:rsid w:val="00D2746C"/>
    <w:rsid w:val="00D27D4E"/>
    <w:rsid w:val="00D27DB7"/>
    <w:rsid w:val="00D30918"/>
    <w:rsid w:val="00D30DE2"/>
    <w:rsid w:val="00D32136"/>
    <w:rsid w:val="00D3349C"/>
    <w:rsid w:val="00D338C2"/>
    <w:rsid w:val="00D33D64"/>
    <w:rsid w:val="00D35621"/>
    <w:rsid w:val="00D3569A"/>
    <w:rsid w:val="00D35DA1"/>
    <w:rsid w:val="00D3651F"/>
    <w:rsid w:val="00D37C2A"/>
    <w:rsid w:val="00D40B31"/>
    <w:rsid w:val="00D40CC5"/>
    <w:rsid w:val="00D41C09"/>
    <w:rsid w:val="00D42724"/>
    <w:rsid w:val="00D42CFB"/>
    <w:rsid w:val="00D438BD"/>
    <w:rsid w:val="00D43CF7"/>
    <w:rsid w:val="00D44094"/>
    <w:rsid w:val="00D449C0"/>
    <w:rsid w:val="00D45669"/>
    <w:rsid w:val="00D46292"/>
    <w:rsid w:val="00D46913"/>
    <w:rsid w:val="00D46B78"/>
    <w:rsid w:val="00D47283"/>
    <w:rsid w:val="00D476C6"/>
    <w:rsid w:val="00D47AC4"/>
    <w:rsid w:val="00D47E3C"/>
    <w:rsid w:val="00D50A7F"/>
    <w:rsid w:val="00D50C45"/>
    <w:rsid w:val="00D520F5"/>
    <w:rsid w:val="00D531BA"/>
    <w:rsid w:val="00D54057"/>
    <w:rsid w:val="00D54205"/>
    <w:rsid w:val="00D54336"/>
    <w:rsid w:val="00D549B7"/>
    <w:rsid w:val="00D551D7"/>
    <w:rsid w:val="00D55AFB"/>
    <w:rsid w:val="00D56765"/>
    <w:rsid w:val="00D56B41"/>
    <w:rsid w:val="00D57375"/>
    <w:rsid w:val="00D574E5"/>
    <w:rsid w:val="00D57F2D"/>
    <w:rsid w:val="00D609C9"/>
    <w:rsid w:val="00D611AB"/>
    <w:rsid w:val="00D61A59"/>
    <w:rsid w:val="00D61D4D"/>
    <w:rsid w:val="00D62528"/>
    <w:rsid w:val="00D6325F"/>
    <w:rsid w:val="00D63460"/>
    <w:rsid w:val="00D6353F"/>
    <w:rsid w:val="00D63DEA"/>
    <w:rsid w:val="00D6445E"/>
    <w:rsid w:val="00D6509A"/>
    <w:rsid w:val="00D651EB"/>
    <w:rsid w:val="00D65241"/>
    <w:rsid w:val="00D65B5E"/>
    <w:rsid w:val="00D65F5B"/>
    <w:rsid w:val="00D666B7"/>
    <w:rsid w:val="00D66FE1"/>
    <w:rsid w:val="00D67267"/>
    <w:rsid w:val="00D67891"/>
    <w:rsid w:val="00D67E47"/>
    <w:rsid w:val="00D70640"/>
    <w:rsid w:val="00D70954"/>
    <w:rsid w:val="00D70F46"/>
    <w:rsid w:val="00D70FC5"/>
    <w:rsid w:val="00D71599"/>
    <w:rsid w:val="00D717CC"/>
    <w:rsid w:val="00D71CEF"/>
    <w:rsid w:val="00D72086"/>
    <w:rsid w:val="00D726B1"/>
    <w:rsid w:val="00D72B10"/>
    <w:rsid w:val="00D739A8"/>
    <w:rsid w:val="00D74482"/>
    <w:rsid w:val="00D74EAE"/>
    <w:rsid w:val="00D753FC"/>
    <w:rsid w:val="00D77A62"/>
    <w:rsid w:val="00D804E5"/>
    <w:rsid w:val="00D8064E"/>
    <w:rsid w:val="00D80FA1"/>
    <w:rsid w:val="00D80FA6"/>
    <w:rsid w:val="00D81261"/>
    <w:rsid w:val="00D81FEA"/>
    <w:rsid w:val="00D820DE"/>
    <w:rsid w:val="00D838BC"/>
    <w:rsid w:val="00D83BA6"/>
    <w:rsid w:val="00D858C7"/>
    <w:rsid w:val="00D863A8"/>
    <w:rsid w:val="00D8684C"/>
    <w:rsid w:val="00D86E91"/>
    <w:rsid w:val="00D8739C"/>
    <w:rsid w:val="00D87FF0"/>
    <w:rsid w:val="00D91162"/>
    <w:rsid w:val="00D91574"/>
    <w:rsid w:val="00D920E7"/>
    <w:rsid w:val="00D92234"/>
    <w:rsid w:val="00D927A6"/>
    <w:rsid w:val="00D92A14"/>
    <w:rsid w:val="00D92C29"/>
    <w:rsid w:val="00D92E14"/>
    <w:rsid w:val="00D93430"/>
    <w:rsid w:val="00D93809"/>
    <w:rsid w:val="00D938E7"/>
    <w:rsid w:val="00D93B93"/>
    <w:rsid w:val="00D93F4F"/>
    <w:rsid w:val="00D951F8"/>
    <w:rsid w:val="00D958BD"/>
    <w:rsid w:val="00D96265"/>
    <w:rsid w:val="00D96954"/>
    <w:rsid w:val="00D96FE6"/>
    <w:rsid w:val="00D97A97"/>
    <w:rsid w:val="00D97B16"/>
    <w:rsid w:val="00D97F32"/>
    <w:rsid w:val="00D97FCA"/>
    <w:rsid w:val="00DA0243"/>
    <w:rsid w:val="00DA05BF"/>
    <w:rsid w:val="00DA1024"/>
    <w:rsid w:val="00DA125C"/>
    <w:rsid w:val="00DA1C8E"/>
    <w:rsid w:val="00DA1F98"/>
    <w:rsid w:val="00DA3364"/>
    <w:rsid w:val="00DA3456"/>
    <w:rsid w:val="00DA36F4"/>
    <w:rsid w:val="00DA44B7"/>
    <w:rsid w:val="00DA490C"/>
    <w:rsid w:val="00DA4919"/>
    <w:rsid w:val="00DA4C86"/>
    <w:rsid w:val="00DA55CB"/>
    <w:rsid w:val="00DA6605"/>
    <w:rsid w:val="00DA70A1"/>
    <w:rsid w:val="00DB014D"/>
    <w:rsid w:val="00DB0248"/>
    <w:rsid w:val="00DB02A5"/>
    <w:rsid w:val="00DB0DFA"/>
    <w:rsid w:val="00DB1171"/>
    <w:rsid w:val="00DB1A5C"/>
    <w:rsid w:val="00DB2552"/>
    <w:rsid w:val="00DB3517"/>
    <w:rsid w:val="00DB3D2C"/>
    <w:rsid w:val="00DB438A"/>
    <w:rsid w:val="00DB4A1D"/>
    <w:rsid w:val="00DB5304"/>
    <w:rsid w:val="00DB5C96"/>
    <w:rsid w:val="00DB5E5B"/>
    <w:rsid w:val="00DB6B23"/>
    <w:rsid w:val="00DB7A8C"/>
    <w:rsid w:val="00DC0A3F"/>
    <w:rsid w:val="00DC19CB"/>
    <w:rsid w:val="00DC3E2D"/>
    <w:rsid w:val="00DC41BC"/>
    <w:rsid w:val="00DC45D5"/>
    <w:rsid w:val="00DC52CF"/>
    <w:rsid w:val="00DC5632"/>
    <w:rsid w:val="00DC58F3"/>
    <w:rsid w:val="00DC6168"/>
    <w:rsid w:val="00DC6912"/>
    <w:rsid w:val="00DC6DB5"/>
    <w:rsid w:val="00DC7689"/>
    <w:rsid w:val="00DD059F"/>
    <w:rsid w:val="00DD2387"/>
    <w:rsid w:val="00DD23DD"/>
    <w:rsid w:val="00DD2C74"/>
    <w:rsid w:val="00DD2CAB"/>
    <w:rsid w:val="00DD2E48"/>
    <w:rsid w:val="00DD34F9"/>
    <w:rsid w:val="00DD3C56"/>
    <w:rsid w:val="00DD3E9B"/>
    <w:rsid w:val="00DD3EA7"/>
    <w:rsid w:val="00DD41E3"/>
    <w:rsid w:val="00DD483D"/>
    <w:rsid w:val="00DD5BD8"/>
    <w:rsid w:val="00DD7D07"/>
    <w:rsid w:val="00DE0D9F"/>
    <w:rsid w:val="00DE176F"/>
    <w:rsid w:val="00DE1F95"/>
    <w:rsid w:val="00DE2358"/>
    <w:rsid w:val="00DE26E9"/>
    <w:rsid w:val="00DE2863"/>
    <w:rsid w:val="00DE3184"/>
    <w:rsid w:val="00DE31FC"/>
    <w:rsid w:val="00DE34F7"/>
    <w:rsid w:val="00DE3E2B"/>
    <w:rsid w:val="00DE432E"/>
    <w:rsid w:val="00DE443D"/>
    <w:rsid w:val="00DE59F7"/>
    <w:rsid w:val="00DE5CC8"/>
    <w:rsid w:val="00DE6344"/>
    <w:rsid w:val="00DE67BF"/>
    <w:rsid w:val="00DE7418"/>
    <w:rsid w:val="00DF0503"/>
    <w:rsid w:val="00DF0750"/>
    <w:rsid w:val="00DF094B"/>
    <w:rsid w:val="00DF09F9"/>
    <w:rsid w:val="00DF1188"/>
    <w:rsid w:val="00DF1718"/>
    <w:rsid w:val="00DF1720"/>
    <w:rsid w:val="00DF255B"/>
    <w:rsid w:val="00DF25A6"/>
    <w:rsid w:val="00DF29CF"/>
    <w:rsid w:val="00DF2AF4"/>
    <w:rsid w:val="00DF3AB7"/>
    <w:rsid w:val="00DF3CE2"/>
    <w:rsid w:val="00DF42A8"/>
    <w:rsid w:val="00DF5B79"/>
    <w:rsid w:val="00DF5BC2"/>
    <w:rsid w:val="00DF5FFF"/>
    <w:rsid w:val="00DF6C98"/>
    <w:rsid w:val="00DF705F"/>
    <w:rsid w:val="00DF71F2"/>
    <w:rsid w:val="00DF76AC"/>
    <w:rsid w:val="00DF780D"/>
    <w:rsid w:val="00E00454"/>
    <w:rsid w:val="00E00C7C"/>
    <w:rsid w:val="00E01313"/>
    <w:rsid w:val="00E02407"/>
    <w:rsid w:val="00E026A1"/>
    <w:rsid w:val="00E026CB"/>
    <w:rsid w:val="00E02B44"/>
    <w:rsid w:val="00E03897"/>
    <w:rsid w:val="00E03DBE"/>
    <w:rsid w:val="00E03DCD"/>
    <w:rsid w:val="00E042D0"/>
    <w:rsid w:val="00E0453E"/>
    <w:rsid w:val="00E04FFA"/>
    <w:rsid w:val="00E052B1"/>
    <w:rsid w:val="00E05D1C"/>
    <w:rsid w:val="00E06504"/>
    <w:rsid w:val="00E07497"/>
    <w:rsid w:val="00E07B75"/>
    <w:rsid w:val="00E100A4"/>
    <w:rsid w:val="00E1086B"/>
    <w:rsid w:val="00E10BEE"/>
    <w:rsid w:val="00E10F6A"/>
    <w:rsid w:val="00E11333"/>
    <w:rsid w:val="00E1164E"/>
    <w:rsid w:val="00E11C81"/>
    <w:rsid w:val="00E12291"/>
    <w:rsid w:val="00E12B0B"/>
    <w:rsid w:val="00E12CE9"/>
    <w:rsid w:val="00E13C33"/>
    <w:rsid w:val="00E1414F"/>
    <w:rsid w:val="00E1436B"/>
    <w:rsid w:val="00E14858"/>
    <w:rsid w:val="00E14A87"/>
    <w:rsid w:val="00E14B63"/>
    <w:rsid w:val="00E14BAC"/>
    <w:rsid w:val="00E152D6"/>
    <w:rsid w:val="00E155E6"/>
    <w:rsid w:val="00E15914"/>
    <w:rsid w:val="00E15C1A"/>
    <w:rsid w:val="00E1620C"/>
    <w:rsid w:val="00E1627B"/>
    <w:rsid w:val="00E164D0"/>
    <w:rsid w:val="00E16BA9"/>
    <w:rsid w:val="00E17466"/>
    <w:rsid w:val="00E17ECA"/>
    <w:rsid w:val="00E20528"/>
    <w:rsid w:val="00E209A6"/>
    <w:rsid w:val="00E20A2D"/>
    <w:rsid w:val="00E20A52"/>
    <w:rsid w:val="00E20F6B"/>
    <w:rsid w:val="00E212CF"/>
    <w:rsid w:val="00E21862"/>
    <w:rsid w:val="00E21922"/>
    <w:rsid w:val="00E22398"/>
    <w:rsid w:val="00E229D8"/>
    <w:rsid w:val="00E23179"/>
    <w:rsid w:val="00E23769"/>
    <w:rsid w:val="00E23824"/>
    <w:rsid w:val="00E2451F"/>
    <w:rsid w:val="00E246D6"/>
    <w:rsid w:val="00E254AB"/>
    <w:rsid w:val="00E266AE"/>
    <w:rsid w:val="00E26AA9"/>
    <w:rsid w:val="00E27E5D"/>
    <w:rsid w:val="00E3029C"/>
    <w:rsid w:val="00E30B27"/>
    <w:rsid w:val="00E31109"/>
    <w:rsid w:val="00E3158A"/>
    <w:rsid w:val="00E317CF"/>
    <w:rsid w:val="00E3183A"/>
    <w:rsid w:val="00E31861"/>
    <w:rsid w:val="00E32136"/>
    <w:rsid w:val="00E32576"/>
    <w:rsid w:val="00E32603"/>
    <w:rsid w:val="00E33020"/>
    <w:rsid w:val="00E34AD2"/>
    <w:rsid w:val="00E35C18"/>
    <w:rsid w:val="00E369A2"/>
    <w:rsid w:val="00E36B00"/>
    <w:rsid w:val="00E36EA4"/>
    <w:rsid w:val="00E3735D"/>
    <w:rsid w:val="00E37515"/>
    <w:rsid w:val="00E37B35"/>
    <w:rsid w:val="00E40A3A"/>
    <w:rsid w:val="00E40DF9"/>
    <w:rsid w:val="00E41108"/>
    <w:rsid w:val="00E41DF6"/>
    <w:rsid w:val="00E426D5"/>
    <w:rsid w:val="00E428E1"/>
    <w:rsid w:val="00E42B5C"/>
    <w:rsid w:val="00E44694"/>
    <w:rsid w:val="00E447D4"/>
    <w:rsid w:val="00E45134"/>
    <w:rsid w:val="00E45213"/>
    <w:rsid w:val="00E4539B"/>
    <w:rsid w:val="00E457C3"/>
    <w:rsid w:val="00E458BF"/>
    <w:rsid w:val="00E45B28"/>
    <w:rsid w:val="00E45BE8"/>
    <w:rsid w:val="00E4643E"/>
    <w:rsid w:val="00E46E22"/>
    <w:rsid w:val="00E46E40"/>
    <w:rsid w:val="00E47550"/>
    <w:rsid w:val="00E47BD3"/>
    <w:rsid w:val="00E50325"/>
    <w:rsid w:val="00E50697"/>
    <w:rsid w:val="00E50CDA"/>
    <w:rsid w:val="00E50DA6"/>
    <w:rsid w:val="00E51125"/>
    <w:rsid w:val="00E51E2A"/>
    <w:rsid w:val="00E51F0A"/>
    <w:rsid w:val="00E52191"/>
    <w:rsid w:val="00E524C3"/>
    <w:rsid w:val="00E54345"/>
    <w:rsid w:val="00E5438D"/>
    <w:rsid w:val="00E54AC1"/>
    <w:rsid w:val="00E56109"/>
    <w:rsid w:val="00E56218"/>
    <w:rsid w:val="00E56959"/>
    <w:rsid w:val="00E569DF"/>
    <w:rsid w:val="00E5781F"/>
    <w:rsid w:val="00E57B95"/>
    <w:rsid w:val="00E60351"/>
    <w:rsid w:val="00E6098D"/>
    <w:rsid w:val="00E627E7"/>
    <w:rsid w:val="00E62903"/>
    <w:rsid w:val="00E6314D"/>
    <w:rsid w:val="00E64A7F"/>
    <w:rsid w:val="00E64AC8"/>
    <w:rsid w:val="00E654D9"/>
    <w:rsid w:val="00E6586D"/>
    <w:rsid w:val="00E65B27"/>
    <w:rsid w:val="00E65D63"/>
    <w:rsid w:val="00E65F80"/>
    <w:rsid w:val="00E6603C"/>
    <w:rsid w:val="00E66442"/>
    <w:rsid w:val="00E66682"/>
    <w:rsid w:val="00E6682C"/>
    <w:rsid w:val="00E668C0"/>
    <w:rsid w:val="00E66AD0"/>
    <w:rsid w:val="00E66CE7"/>
    <w:rsid w:val="00E67276"/>
    <w:rsid w:val="00E70175"/>
    <w:rsid w:val="00E70176"/>
    <w:rsid w:val="00E70278"/>
    <w:rsid w:val="00E70315"/>
    <w:rsid w:val="00E71192"/>
    <w:rsid w:val="00E71EF0"/>
    <w:rsid w:val="00E721CB"/>
    <w:rsid w:val="00E73FBC"/>
    <w:rsid w:val="00E7548A"/>
    <w:rsid w:val="00E76109"/>
    <w:rsid w:val="00E7739D"/>
    <w:rsid w:val="00E77BB4"/>
    <w:rsid w:val="00E77BE6"/>
    <w:rsid w:val="00E77E52"/>
    <w:rsid w:val="00E8046A"/>
    <w:rsid w:val="00E80FCA"/>
    <w:rsid w:val="00E81663"/>
    <w:rsid w:val="00E81CC5"/>
    <w:rsid w:val="00E82818"/>
    <w:rsid w:val="00E82D96"/>
    <w:rsid w:val="00E8311C"/>
    <w:rsid w:val="00E83653"/>
    <w:rsid w:val="00E83D99"/>
    <w:rsid w:val="00E848F4"/>
    <w:rsid w:val="00E84F82"/>
    <w:rsid w:val="00E8596B"/>
    <w:rsid w:val="00E877E4"/>
    <w:rsid w:val="00E87D8C"/>
    <w:rsid w:val="00E87E96"/>
    <w:rsid w:val="00E90CFB"/>
    <w:rsid w:val="00E90DD7"/>
    <w:rsid w:val="00E91173"/>
    <w:rsid w:val="00E914C0"/>
    <w:rsid w:val="00E9258B"/>
    <w:rsid w:val="00E949DD"/>
    <w:rsid w:val="00E962E0"/>
    <w:rsid w:val="00E9674E"/>
    <w:rsid w:val="00E968FB"/>
    <w:rsid w:val="00E96A3F"/>
    <w:rsid w:val="00E97CB1"/>
    <w:rsid w:val="00E97DDF"/>
    <w:rsid w:val="00EA12D8"/>
    <w:rsid w:val="00EA1318"/>
    <w:rsid w:val="00EA192C"/>
    <w:rsid w:val="00EA21BC"/>
    <w:rsid w:val="00EA222C"/>
    <w:rsid w:val="00EA26D9"/>
    <w:rsid w:val="00EA3BE7"/>
    <w:rsid w:val="00EA44CA"/>
    <w:rsid w:val="00EA53D0"/>
    <w:rsid w:val="00EA5B53"/>
    <w:rsid w:val="00EA60CB"/>
    <w:rsid w:val="00EA782D"/>
    <w:rsid w:val="00EA7C3F"/>
    <w:rsid w:val="00EB017C"/>
    <w:rsid w:val="00EB0301"/>
    <w:rsid w:val="00EB05D3"/>
    <w:rsid w:val="00EB0C51"/>
    <w:rsid w:val="00EB0E94"/>
    <w:rsid w:val="00EB1B5C"/>
    <w:rsid w:val="00EB1F2A"/>
    <w:rsid w:val="00EB2C5A"/>
    <w:rsid w:val="00EB2EB9"/>
    <w:rsid w:val="00EB304D"/>
    <w:rsid w:val="00EB49DA"/>
    <w:rsid w:val="00EB5F5A"/>
    <w:rsid w:val="00EB69D0"/>
    <w:rsid w:val="00EB791B"/>
    <w:rsid w:val="00EC067C"/>
    <w:rsid w:val="00EC070B"/>
    <w:rsid w:val="00EC076C"/>
    <w:rsid w:val="00EC09E5"/>
    <w:rsid w:val="00EC0B81"/>
    <w:rsid w:val="00EC0BBA"/>
    <w:rsid w:val="00EC0D57"/>
    <w:rsid w:val="00EC0E65"/>
    <w:rsid w:val="00EC171B"/>
    <w:rsid w:val="00EC22B5"/>
    <w:rsid w:val="00EC3070"/>
    <w:rsid w:val="00EC33F4"/>
    <w:rsid w:val="00EC3537"/>
    <w:rsid w:val="00EC396D"/>
    <w:rsid w:val="00EC4297"/>
    <w:rsid w:val="00EC50D4"/>
    <w:rsid w:val="00EC5BAA"/>
    <w:rsid w:val="00EC5BC4"/>
    <w:rsid w:val="00EC5F22"/>
    <w:rsid w:val="00EC67D2"/>
    <w:rsid w:val="00EC6D6E"/>
    <w:rsid w:val="00EC6EF1"/>
    <w:rsid w:val="00EC7FD0"/>
    <w:rsid w:val="00ED00E8"/>
    <w:rsid w:val="00ED0B3E"/>
    <w:rsid w:val="00ED0D74"/>
    <w:rsid w:val="00ED193B"/>
    <w:rsid w:val="00ED2590"/>
    <w:rsid w:val="00ED28EA"/>
    <w:rsid w:val="00ED2EA0"/>
    <w:rsid w:val="00ED3707"/>
    <w:rsid w:val="00ED4439"/>
    <w:rsid w:val="00ED51EB"/>
    <w:rsid w:val="00ED5ECC"/>
    <w:rsid w:val="00ED666A"/>
    <w:rsid w:val="00ED6B6A"/>
    <w:rsid w:val="00ED6E79"/>
    <w:rsid w:val="00ED6F6B"/>
    <w:rsid w:val="00ED7A0A"/>
    <w:rsid w:val="00EE09DD"/>
    <w:rsid w:val="00EE196D"/>
    <w:rsid w:val="00EE1D31"/>
    <w:rsid w:val="00EE1E75"/>
    <w:rsid w:val="00EE26EB"/>
    <w:rsid w:val="00EE2A29"/>
    <w:rsid w:val="00EE3054"/>
    <w:rsid w:val="00EE3A36"/>
    <w:rsid w:val="00EE3D34"/>
    <w:rsid w:val="00EE401D"/>
    <w:rsid w:val="00EE4892"/>
    <w:rsid w:val="00EE5274"/>
    <w:rsid w:val="00EE6089"/>
    <w:rsid w:val="00EE6C75"/>
    <w:rsid w:val="00EE7BD0"/>
    <w:rsid w:val="00EF04C0"/>
    <w:rsid w:val="00EF079B"/>
    <w:rsid w:val="00EF09F7"/>
    <w:rsid w:val="00EF1323"/>
    <w:rsid w:val="00EF187B"/>
    <w:rsid w:val="00EF1BF8"/>
    <w:rsid w:val="00EF1C41"/>
    <w:rsid w:val="00EF1C93"/>
    <w:rsid w:val="00EF1F10"/>
    <w:rsid w:val="00EF2BF4"/>
    <w:rsid w:val="00EF35C1"/>
    <w:rsid w:val="00EF4B76"/>
    <w:rsid w:val="00EF4BD8"/>
    <w:rsid w:val="00EF4DD4"/>
    <w:rsid w:val="00EF505D"/>
    <w:rsid w:val="00EF6D2C"/>
    <w:rsid w:val="00EF794C"/>
    <w:rsid w:val="00F00401"/>
    <w:rsid w:val="00F00FAA"/>
    <w:rsid w:val="00F01340"/>
    <w:rsid w:val="00F015C1"/>
    <w:rsid w:val="00F01F9C"/>
    <w:rsid w:val="00F02910"/>
    <w:rsid w:val="00F03387"/>
    <w:rsid w:val="00F03795"/>
    <w:rsid w:val="00F04401"/>
    <w:rsid w:val="00F045E4"/>
    <w:rsid w:val="00F04A2B"/>
    <w:rsid w:val="00F04B18"/>
    <w:rsid w:val="00F05A3B"/>
    <w:rsid w:val="00F066D4"/>
    <w:rsid w:val="00F0691E"/>
    <w:rsid w:val="00F06EE6"/>
    <w:rsid w:val="00F075EE"/>
    <w:rsid w:val="00F07A19"/>
    <w:rsid w:val="00F07C14"/>
    <w:rsid w:val="00F07F19"/>
    <w:rsid w:val="00F10614"/>
    <w:rsid w:val="00F1068B"/>
    <w:rsid w:val="00F10EE5"/>
    <w:rsid w:val="00F1127C"/>
    <w:rsid w:val="00F12616"/>
    <w:rsid w:val="00F12B63"/>
    <w:rsid w:val="00F12CBE"/>
    <w:rsid w:val="00F13264"/>
    <w:rsid w:val="00F13399"/>
    <w:rsid w:val="00F1464F"/>
    <w:rsid w:val="00F1496E"/>
    <w:rsid w:val="00F14C83"/>
    <w:rsid w:val="00F14D2B"/>
    <w:rsid w:val="00F15131"/>
    <w:rsid w:val="00F162A3"/>
    <w:rsid w:val="00F16D6C"/>
    <w:rsid w:val="00F17234"/>
    <w:rsid w:val="00F17450"/>
    <w:rsid w:val="00F17505"/>
    <w:rsid w:val="00F20411"/>
    <w:rsid w:val="00F20A51"/>
    <w:rsid w:val="00F22920"/>
    <w:rsid w:val="00F22FDE"/>
    <w:rsid w:val="00F23BA5"/>
    <w:rsid w:val="00F24942"/>
    <w:rsid w:val="00F25494"/>
    <w:rsid w:val="00F25894"/>
    <w:rsid w:val="00F25DE9"/>
    <w:rsid w:val="00F25E16"/>
    <w:rsid w:val="00F26305"/>
    <w:rsid w:val="00F268FA"/>
    <w:rsid w:val="00F270B5"/>
    <w:rsid w:val="00F271D3"/>
    <w:rsid w:val="00F27246"/>
    <w:rsid w:val="00F273F4"/>
    <w:rsid w:val="00F306B1"/>
    <w:rsid w:val="00F306FF"/>
    <w:rsid w:val="00F30823"/>
    <w:rsid w:val="00F30984"/>
    <w:rsid w:val="00F30EC0"/>
    <w:rsid w:val="00F323C5"/>
    <w:rsid w:val="00F3277F"/>
    <w:rsid w:val="00F32B05"/>
    <w:rsid w:val="00F3318E"/>
    <w:rsid w:val="00F33D77"/>
    <w:rsid w:val="00F33FB3"/>
    <w:rsid w:val="00F348D0"/>
    <w:rsid w:val="00F35185"/>
    <w:rsid w:val="00F3584B"/>
    <w:rsid w:val="00F365BB"/>
    <w:rsid w:val="00F37319"/>
    <w:rsid w:val="00F37E78"/>
    <w:rsid w:val="00F401D2"/>
    <w:rsid w:val="00F407D3"/>
    <w:rsid w:val="00F416F9"/>
    <w:rsid w:val="00F41B40"/>
    <w:rsid w:val="00F420EA"/>
    <w:rsid w:val="00F42A98"/>
    <w:rsid w:val="00F43A90"/>
    <w:rsid w:val="00F43ABE"/>
    <w:rsid w:val="00F43CDB"/>
    <w:rsid w:val="00F43E05"/>
    <w:rsid w:val="00F43EA0"/>
    <w:rsid w:val="00F44786"/>
    <w:rsid w:val="00F44A15"/>
    <w:rsid w:val="00F45943"/>
    <w:rsid w:val="00F462E3"/>
    <w:rsid w:val="00F463B2"/>
    <w:rsid w:val="00F4662B"/>
    <w:rsid w:val="00F46ED0"/>
    <w:rsid w:val="00F46FAE"/>
    <w:rsid w:val="00F47562"/>
    <w:rsid w:val="00F478AF"/>
    <w:rsid w:val="00F5023D"/>
    <w:rsid w:val="00F50324"/>
    <w:rsid w:val="00F503EC"/>
    <w:rsid w:val="00F50675"/>
    <w:rsid w:val="00F50AD4"/>
    <w:rsid w:val="00F510D5"/>
    <w:rsid w:val="00F511DA"/>
    <w:rsid w:val="00F51F95"/>
    <w:rsid w:val="00F527B1"/>
    <w:rsid w:val="00F52B0C"/>
    <w:rsid w:val="00F52F8A"/>
    <w:rsid w:val="00F5382B"/>
    <w:rsid w:val="00F54BC5"/>
    <w:rsid w:val="00F5534E"/>
    <w:rsid w:val="00F554A4"/>
    <w:rsid w:val="00F55777"/>
    <w:rsid w:val="00F560E4"/>
    <w:rsid w:val="00F563BF"/>
    <w:rsid w:val="00F56A22"/>
    <w:rsid w:val="00F56DD4"/>
    <w:rsid w:val="00F56F0D"/>
    <w:rsid w:val="00F5741B"/>
    <w:rsid w:val="00F5756E"/>
    <w:rsid w:val="00F57E5B"/>
    <w:rsid w:val="00F60024"/>
    <w:rsid w:val="00F60D04"/>
    <w:rsid w:val="00F61AF6"/>
    <w:rsid w:val="00F61BEA"/>
    <w:rsid w:val="00F62148"/>
    <w:rsid w:val="00F62539"/>
    <w:rsid w:val="00F62816"/>
    <w:rsid w:val="00F62BA1"/>
    <w:rsid w:val="00F63952"/>
    <w:rsid w:val="00F64252"/>
    <w:rsid w:val="00F6450C"/>
    <w:rsid w:val="00F645F3"/>
    <w:rsid w:val="00F64AF2"/>
    <w:rsid w:val="00F66585"/>
    <w:rsid w:val="00F66B0B"/>
    <w:rsid w:val="00F6749E"/>
    <w:rsid w:val="00F67866"/>
    <w:rsid w:val="00F67C77"/>
    <w:rsid w:val="00F703C5"/>
    <w:rsid w:val="00F7097D"/>
    <w:rsid w:val="00F70E73"/>
    <w:rsid w:val="00F70E83"/>
    <w:rsid w:val="00F710A9"/>
    <w:rsid w:val="00F71660"/>
    <w:rsid w:val="00F71EF4"/>
    <w:rsid w:val="00F72910"/>
    <w:rsid w:val="00F737C9"/>
    <w:rsid w:val="00F743A6"/>
    <w:rsid w:val="00F74A3B"/>
    <w:rsid w:val="00F750E8"/>
    <w:rsid w:val="00F753DA"/>
    <w:rsid w:val="00F759DD"/>
    <w:rsid w:val="00F75A08"/>
    <w:rsid w:val="00F76080"/>
    <w:rsid w:val="00F7680D"/>
    <w:rsid w:val="00F76B1E"/>
    <w:rsid w:val="00F76DA7"/>
    <w:rsid w:val="00F771C7"/>
    <w:rsid w:val="00F772AF"/>
    <w:rsid w:val="00F80FC7"/>
    <w:rsid w:val="00F814D0"/>
    <w:rsid w:val="00F81EE8"/>
    <w:rsid w:val="00F822AE"/>
    <w:rsid w:val="00F8235C"/>
    <w:rsid w:val="00F828FA"/>
    <w:rsid w:val="00F82974"/>
    <w:rsid w:val="00F82B1B"/>
    <w:rsid w:val="00F82B76"/>
    <w:rsid w:val="00F83AB5"/>
    <w:rsid w:val="00F83FB3"/>
    <w:rsid w:val="00F85316"/>
    <w:rsid w:val="00F864BC"/>
    <w:rsid w:val="00F92DED"/>
    <w:rsid w:val="00F937BB"/>
    <w:rsid w:val="00F944E5"/>
    <w:rsid w:val="00F95252"/>
    <w:rsid w:val="00F95336"/>
    <w:rsid w:val="00F95E9C"/>
    <w:rsid w:val="00F962A9"/>
    <w:rsid w:val="00F971DC"/>
    <w:rsid w:val="00F973D0"/>
    <w:rsid w:val="00F97FBB"/>
    <w:rsid w:val="00FA00A4"/>
    <w:rsid w:val="00FA061A"/>
    <w:rsid w:val="00FA078E"/>
    <w:rsid w:val="00FA0CAB"/>
    <w:rsid w:val="00FA1289"/>
    <w:rsid w:val="00FA136D"/>
    <w:rsid w:val="00FA1844"/>
    <w:rsid w:val="00FA2676"/>
    <w:rsid w:val="00FA2AA6"/>
    <w:rsid w:val="00FA3326"/>
    <w:rsid w:val="00FA3332"/>
    <w:rsid w:val="00FA4373"/>
    <w:rsid w:val="00FA60B4"/>
    <w:rsid w:val="00FA6189"/>
    <w:rsid w:val="00FA6671"/>
    <w:rsid w:val="00FA6B73"/>
    <w:rsid w:val="00FA7099"/>
    <w:rsid w:val="00FA766D"/>
    <w:rsid w:val="00FA7847"/>
    <w:rsid w:val="00FA79F9"/>
    <w:rsid w:val="00FA7DEE"/>
    <w:rsid w:val="00FB0B56"/>
    <w:rsid w:val="00FB0D75"/>
    <w:rsid w:val="00FB1132"/>
    <w:rsid w:val="00FB13D0"/>
    <w:rsid w:val="00FB17E9"/>
    <w:rsid w:val="00FB2F94"/>
    <w:rsid w:val="00FB2FA2"/>
    <w:rsid w:val="00FB3C96"/>
    <w:rsid w:val="00FB3FE2"/>
    <w:rsid w:val="00FB460C"/>
    <w:rsid w:val="00FB4749"/>
    <w:rsid w:val="00FB51F8"/>
    <w:rsid w:val="00FB59E0"/>
    <w:rsid w:val="00FB5A79"/>
    <w:rsid w:val="00FB5EC4"/>
    <w:rsid w:val="00FB6589"/>
    <w:rsid w:val="00FB6632"/>
    <w:rsid w:val="00FB6A67"/>
    <w:rsid w:val="00FB7040"/>
    <w:rsid w:val="00FB75E5"/>
    <w:rsid w:val="00FC0051"/>
    <w:rsid w:val="00FC062F"/>
    <w:rsid w:val="00FC08BA"/>
    <w:rsid w:val="00FC1453"/>
    <w:rsid w:val="00FC26F2"/>
    <w:rsid w:val="00FC27BE"/>
    <w:rsid w:val="00FC3C63"/>
    <w:rsid w:val="00FC411D"/>
    <w:rsid w:val="00FC4E6E"/>
    <w:rsid w:val="00FC510A"/>
    <w:rsid w:val="00FC5CC5"/>
    <w:rsid w:val="00FC6144"/>
    <w:rsid w:val="00FC645C"/>
    <w:rsid w:val="00FC6B73"/>
    <w:rsid w:val="00FC6C3C"/>
    <w:rsid w:val="00FC7424"/>
    <w:rsid w:val="00FC7C67"/>
    <w:rsid w:val="00FD063B"/>
    <w:rsid w:val="00FD071B"/>
    <w:rsid w:val="00FD1367"/>
    <w:rsid w:val="00FD2F51"/>
    <w:rsid w:val="00FD2F58"/>
    <w:rsid w:val="00FD3794"/>
    <w:rsid w:val="00FD3CCC"/>
    <w:rsid w:val="00FD4DE2"/>
    <w:rsid w:val="00FD4F1B"/>
    <w:rsid w:val="00FD583B"/>
    <w:rsid w:val="00FD5C24"/>
    <w:rsid w:val="00FD66F6"/>
    <w:rsid w:val="00FD7191"/>
    <w:rsid w:val="00FD75E4"/>
    <w:rsid w:val="00FD7710"/>
    <w:rsid w:val="00FD7A68"/>
    <w:rsid w:val="00FE06C5"/>
    <w:rsid w:val="00FE10DA"/>
    <w:rsid w:val="00FE1F73"/>
    <w:rsid w:val="00FE2415"/>
    <w:rsid w:val="00FE3117"/>
    <w:rsid w:val="00FE332E"/>
    <w:rsid w:val="00FE3418"/>
    <w:rsid w:val="00FE355F"/>
    <w:rsid w:val="00FE35CD"/>
    <w:rsid w:val="00FE38F6"/>
    <w:rsid w:val="00FE3DD3"/>
    <w:rsid w:val="00FE4080"/>
    <w:rsid w:val="00FE41F7"/>
    <w:rsid w:val="00FE529F"/>
    <w:rsid w:val="00FE5416"/>
    <w:rsid w:val="00FE572B"/>
    <w:rsid w:val="00FE6389"/>
    <w:rsid w:val="00FE6559"/>
    <w:rsid w:val="00FE6607"/>
    <w:rsid w:val="00FE707D"/>
    <w:rsid w:val="00FE78E9"/>
    <w:rsid w:val="00FE7ED2"/>
    <w:rsid w:val="00FF0DF8"/>
    <w:rsid w:val="00FF17BB"/>
    <w:rsid w:val="00FF1DA2"/>
    <w:rsid w:val="00FF329D"/>
    <w:rsid w:val="00FF350D"/>
    <w:rsid w:val="00FF3585"/>
    <w:rsid w:val="00FF3A6D"/>
    <w:rsid w:val="00FF3CE1"/>
    <w:rsid w:val="00FF45B6"/>
    <w:rsid w:val="00FF547C"/>
    <w:rsid w:val="00FF5AC8"/>
    <w:rsid w:val="00FF5E0A"/>
    <w:rsid w:val="00FF7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margin;mso-position-vertical-relative:page;mso-width-relative:margin;mso-height-relative:margin;v-text-anchor:middle" o:allowincell="f" fillcolor="white">
      <v:fill color="white"/>
      <v:stroke weight="2pt"/>
      <v:shadow color="#868686"/>
    </o:shapedefaults>
    <o:shapelayout v:ext="edit">
      <o:idmap v:ext="edit" data="1"/>
    </o:shapelayout>
  </w:shapeDefaults>
  <w:decimalSymbol w:val="."/>
  <w:listSeparator w:val=","/>
  <w14:docId w14:val="48F583BD"/>
  <w15:docId w15:val="{F9B74D40-4C55-447F-8AA1-BFF3B483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73"/>
    <w:pPr>
      <w:spacing w:after="240" w:line="276" w:lineRule="auto"/>
    </w:pPr>
    <w:rPr>
      <w:rFonts w:ascii="Arial" w:hAnsi="Arial"/>
      <w:sz w:val="24"/>
    </w:rPr>
  </w:style>
  <w:style w:type="paragraph" w:styleId="Heading1">
    <w:name w:val="heading 1"/>
    <w:basedOn w:val="Normal"/>
    <w:next w:val="Normal"/>
    <w:qFormat/>
    <w:rsid w:val="007D157C"/>
    <w:pPr>
      <w:keepNext/>
      <w:spacing w:before="240" w:after="120"/>
      <w:outlineLvl w:val="0"/>
    </w:pPr>
    <w:rPr>
      <w:b/>
      <w:bCs/>
      <w:color w:val="862214"/>
      <w:kern w:val="32"/>
      <w:sz w:val="28"/>
      <w:szCs w:val="32"/>
    </w:rPr>
  </w:style>
  <w:style w:type="paragraph" w:styleId="Heading2">
    <w:name w:val="heading 2"/>
    <w:basedOn w:val="Normal"/>
    <w:next w:val="Normal"/>
    <w:link w:val="Heading2Char"/>
    <w:qFormat/>
    <w:rsid w:val="00242C5F"/>
    <w:pPr>
      <w:keepNext/>
      <w:spacing w:after="120"/>
      <w:outlineLvl w:val="1"/>
    </w:pPr>
    <w:rPr>
      <w:rFonts w:cs="Arial"/>
      <w:b/>
      <w:bCs/>
      <w:iCs/>
      <w:color w:val="1A3866"/>
      <w:szCs w:val="28"/>
    </w:rPr>
  </w:style>
  <w:style w:type="paragraph" w:styleId="Heading3">
    <w:name w:val="heading 3"/>
    <w:basedOn w:val="Normal"/>
    <w:next w:val="Normal"/>
    <w:link w:val="Heading3Char"/>
    <w:qFormat/>
    <w:rsid w:val="00C04508"/>
    <w:pPr>
      <w:keepNext/>
      <w:spacing w:after="120"/>
      <w:outlineLvl w:val="2"/>
    </w:pPr>
    <w:rPr>
      <w:rFonts w:cs="Arial"/>
      <w:b/>
      <w:bCs/>
      <w:szCs w:val="26"/>
    </w:rPr>
  </w:style>
  <w:style w:type="paragraph" w:styleId="Heading4">
    <w:name w:val="heading 4"/>
    <w:basedOn w:val="Normal"/>
    <w:next w:val="Normal"/>
    <w:link w:val="Heading4Char"/>
    <w:qFormat/>
    <w:rsid w:val="0051205F"/>
    <w:pPr>
      <w:keepNext/>
      <w:spacing w:before="120" w:after="120"/>
      <w:ind w:left="43"/>
      <w:outlineLvl w:val="3"/>
    </w:pPr>
    <w:rPr>
      <w:rFonts w:ascii="Cambria" w:hAnsi="Cambria"/>
      <w:b/>
      <w:bCs/>
      <w:sz w:val="26"/>
    </w:rPr>
  </w:style>
  <w:style w:type="paragraph" w:styleId="Heading5">
    <w:name w:val="heading 5"/>
    <w:basedOn w:val="Normal"/>
    <w:next w:val="Normal"/>
    <w:qFormat/>
    <w:rsid w:val="0051205F"/>
    <w:pPr>
      <w:keepNext/>
      <w:spacing w:before="120" w:line="288" w:lineRule="auto"/>
      <w:jc w:val="both"/>
      <w:outlineLvl w:val="4"/>
    </w:pPr>
    <w:rPr>
      <w:rFonts w:ascii="Cambria" w:hAnsi="Cambr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oirsubtitulo">
    <w:name w:val="veroirsubtitulo"/>
    <w:basedOn w:val="Normal"/>
    <w:rPr>
      <w:b/>
      <w:lang w:val="es-MX"/>
    </w:rPr>
  </w:style>
  <w:style w:type="paragraph" w:customStyle="1" w:styleId="veroirsub2">
    <w:name w:val="veroirsub2"/>
    <w:basedOn w:val="Normal"/>
    <w:rPr>
      <w:b/>
      <w:lang w:val="es-MX"/>
    </w:rPr>
  </w:style>
  <w:style w:type="paragraph" w:customStyle="1" w:styleId="veroirname">
    <w:name w:val="veroirname"/>
    <w:basedOn w:val="Normal"/>
    <w:pPr>
      <w:jc w:val="center"/>
    </w:pPr>
    <w:rPr>
      <w:b/>
      <w:spacing w:val="8"/>
      <w:sz w:val="52"/>
      <w:lang w:val="es-MX"/>
    </w:rPr>
  </w:style>
  <w:style w:type="paragraph" w:customStyle="1" w:styleId="veroirtext">
    <w:name w:val="veroirtext"/>
    <w:basedOn w:val="Normal"/>
    <w:pPr>
      <w:ind w:firstLine="288"/>
    </w:pPr>
    <w:rPr>
      <w:lang w:val="es-MX"/>
    </w:rPr>
  </w:style>
  <w:style w:type="paragraph" w:customStyle="1" w:styleId="veroirauthor">
    <w:name w:val="veroirauthor"/>
    <w:basedOn w:val="Normal"/>
    <w:pPr>
      <w:jc w:val="center"/>
    </w:pPr>
    <w:rPr>
      <w:sz w:val="28"/>
      <w:lang w:val="es-MX"/>
    </w:rPr>
  </w:style>
  <w:style w:type="paragraph" w:customStyle="1" w:styleId="veroirarticletitle">
    <w:name w:val="veroirarticletitle"/>
    <w:basedOn w:val="veroirtext"/>
    <w:pPr>
      <w:ind w:firstLine="0"/>
      <w:jc w:val="center"/>
    </w:pPr>
    <w:rPr>
      <w:b/>
      <w:sz w:val="32"/>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Times New Roman" w:hAnsi="Times New Roman"/>
      <w:lang w:val="x-none" w:eastAsia="x-none"/>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
    <w:name w:val="Body Text"/>
    <w:basedOn w:val="Normal"/>
    <w:semiHidden/>
    <w:rPr>
      <w:color w:val="FF0000"/>
      <w:szCs w:val="24"/>
    </w:rPr>
  </w:style>
  <w:style w:type="character" w:styleId="FollowedHyperlink">
    <w:name w:val="FollowedHyperlink"/>
    <w:semiHidden/>
    <w:rPr>
      <w:color w:val="800080"/>
      <w:u w:val="single"/>
    </w:rPr>
  </w:style>
  <w:style w:type="paragraph" w:styleId="BodyText2">
    <w:name w:val="Body Text 2"/>
    <w:basedOn w:val="Normal"/>
    <w:semiHidden/>
    <w:rPr>
      <w:rFonts w:ascii="Book Antiqua" w:hAnsi="Book Antiqua"/>
      <w:sz w:val="30"/>
    </w:rPr>
  </w:style>
  <w:style w:type="paragraph" w:styleId="BodyText3">
    <w:name w:val="Body Text 3"/>
    <w:basedOn w:val="Normal"/>
    <w:link w:val="BodyText3Char"/>
    <w:semiHidden/>
    <w:pPr>
      <w:jc w:val="center"/>
    </w:pPr>
    <w:rPr>
      <w:rFonts w:ascii="Bookman Old Style" w:hAnsi="Bookman Old Style"/>
      <w:sz w:val="28"/>
      <w:szCs w:val="24"/>
      <w:lang w:val="x-none" w:eastAsia="x-none"/>
    </w:rPr>
  </w:style>
  <w:style w:type="character" w:customStyle="1" w:styleId="FooterChar">
    <w:name w:val="Footer Char"/>
    <w:link w:val="Footer"/>
    <w:uiPriority w:val="99"/>
    <w:rsid w:val="00F54BC5"/>
    <w:rPr>
      <w:sz w:val="24"/>
    </w:rPr>
  </w:style>
  <w:style w:type="paragraph" w:styleId="BalloonText">
    <w:name w:val="Balloon Text"/>
    <w:basedOn w:val="Normal"/>
    <w:link w:val="BalloonTextChar"/>
    <w:uiPriority w:val="99"/>
    <w:semiHidden/>
    <w:unhideWhenUsed/>
    <w:rsid w:val="00B80F64"/>
    <w:rPr>
      <w:rFonts w:ascii="Tahoma" w:hAnsi="Tahoma"/>
      <w:sz w:val="16"/>
      <w:szCs w:val="16"/>
      <w:lang w:val="x-none" w:eastAsia="x-none"/>
    </w:rPr>
  </w:style>
  <w:style w:type="character" w:customStyle="1" w:styleId="BalloonTextChar">
    <w:name w:val="Balloon Text Char"/>
    <w:link w:val="BalloonText"/>
    <w:uiPriority w:val="99"/>
    <w:semiHidden/>
    <w:rsid w:val="00B80F64"/>
    <w:rPr>
      <w:rFonts w:ascii="Tahoma" w:hAnsi="Tahoma" w:cs="Tahoma"/>
      <w:sz w:val="16"/>
      <w:szCs w:val="16"/>
    </w:rPr>
  </w:style>
  <w:style w:type="character" w:customStyle="1" w:styleId="BodyText3Char">
    <w:name w:val="Body Text 3 Char"/>
    <w:link w:val="BodyText3"/>
    <w:semiHidden/>
    <w:rsid w:val="00395762"/>
    <w:rPr>
      <w:rFonts w:ascii="Bookman Old Style" w:hAnsi="Bookman Old Style"/>
      <w:sz w:val="28"/>
      <w:szCs w:val="24"/>
    </w:rPr>
  </w:style>
  <w:style w:type="table" w:styleId="TableGrid">
    <w:name w:val="Table Grid"/>
    <w:basedOn w:val="TableNormal"/>
    <w:uiPriority w:val="59"/>
    <w:rsid w:val="00B600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rsid w:val="00852501"/>
    <w:rPr>
      <w:b/>
      <w:bCs/>
      <w:sz w:val="20"/>
    </w:rPr>
  </w:style>
  <w:style w:type="paragraph" w:customStyle="1" w:styleId="CallOut">
    <w:name w:val="Call Out"/>
    <w:basedOn w:val="Normal"/>
    <w:qFormat/>
    <w:rsid w:val="0054427D"/>
    <w:pPr>
      <w:spacing w:line="240" w:lineRule="auto"/>
      <w:jc w:val="center"/>
    </w:pPr>
    <w:rPr>
      <w:rFonts w:ascii="Bookman Old Style" w:hAnsi="Bookman Old Style"/>
      <w:sz w:val="32"/>
      <w:szCs w:val="32"/>
    </w:rPr>
  </w:style>
  <w:style w:type="character" w:styleId="Strong">
    <w:name w:val="Strong"/>
    <w:uiPriority w:val="22"/>
    <w:qFormat/>
    <w:rsid w:val="00FB0B56"/>
    <w:rPr>
      <w:b/>
      <w:bCs/>
    </w:rPr>
  </w:style>
  <w:style w:type="character" w:styleId="Emphasis">
    <w:name w:val="Emphasis"/>
    <w:uiPriority w:val="20"/>
    <w:qFormat/>
    <w:rsid w:val="00FB0B56"/>
    <w:rPr>
      <w:i/>
      <w:iCs/>
    </w:rPr>
  </w:style>
  <w:style w:type="paragraph" w:styleId="EndnoteText">
    <w:name w:val="endnote text"/>
    <w:basedOn w:val="Normal"/>
    <w:link w:val="EndnoteTextChar"/>
    <w:uiPriority w:val="99"/>
    <w:unhideWhenUsed/>
    <w:rsid w:val="003E115A"/>
    <w:rPr>
      <w:rFonts w:ascii="Calibri" w:hAnsi="Calibri"/>
      <w:sz w:val="20"/>
      <w:lang w:val="x-none" w:eastAsia="x-none"/>
    </w:rPr>
  </w:style>
  <w:style w:type="character" w:customStyle="1" w:styleId="EndnoteTextChar">
    <w:name w:val="Endnote Text Char"/>
    <w:link w:val="EndnoteText"/>
    <w:uiPriority w:val="99"/>
    <w:rsid w:val="003E115A"/>
    <w:rPr>
      <w:rFonts w:ascii="Calibri" w:hAnsi="Calibri"/>
    </w:rPr>
  </w:style>
  <w:style w:type="character" w:styleId="EndnoteReference">
    <w:name w:val="endnote reference"/>
    <w:uiPriority w:val="99"/>
    <w:semiHidden/>
    <w:unhideWhenUsed/>
    <w:rsid w:val="003E115A"/>
    <w:rPr>
      <w:vertAlign w:val="superscript"/>
    </w:rPr>
  </w:style>
  <w:style w:type="character" w:styleId="CommentReference">
    <w:name w:val="annotation reference"/>
    <w:uiPriority w:val="99"/>
    <w:semiHidden/>
    <w:unhideWhenUsed/>
    <w:rsid w:val="00255243"/>
    <w:rPr>
      <w:sz w:val="16"/>
      <w:szCs w:val="16"/>
    </w:rPr>
  </w:style>
  <w:style w:type="paragraph" w:styleId="CommentText">
    <w:name w:val="annotation text"/>
    <w:basedOn w:val="Normal"/>
    <w:link w:val="CommentTextChar"/>
    <w:uiPriority w:val="99"/>
    <w:semiHidden/>
    <w:unhideWhenUsed/>
    <w:rsid w:val="00255243"/>
    <w:rPr>
      <w:rFonts w:ascii="Calibri" w:hAnsi="Calibri"/>
      <w:sz w:val="20"/>
      <w:lang w:val="x-none" w:eastAsia="x-none"/>
    </w:rPr>
  </w:style>
  <w:style w:type="character" w:customStyle="1" w:styleId="CommentTextChar">
    <w:name w:val="Comment Text Char"/>
    <w:link w:val="CommentText"/>
    <w:uiPriority w:val="99"/>
    <w:semiHidden/>
    <w:rsid w:val="00255243"/>
    <w:rPr>
      <w:rFonts w:ascii="Calibri" w:hAnsi="Calibri"/>
    </w:rPr>
  </w:style>
  <w:style w:type="paragraph" w:styleId="CommentSubject">
    <w:name w:val="annotation subject"/>
    <w:basedOn w:val="CommentText"/>
    <w:next w:val="CommentText"/>
    <w:link w:val="CommentSubjectChar"/>
    <w:uiPriority w:val="99"/>
    <w:semiHidden/>
    <w:unhideWhenUsed/>
    <w:rsid w:val="00255243"/>
    <w:rPr>
      <w:b/>
      <w:bCs/>
    </w:rPr>
  </w:style>
  <w:style w:type="character" w:customStyle="1" w:styleId="CommentSubjectChar">
    <w:name w:val="Comment Subject Char"/>
    <w:link w:val="CommentSubject"/>
    <w:uiPriority w:val="99"/>
    <w:semiHidden/>
    <w:rsid w:val="00255243"/>
    <w:rPr>
      <w:rFonts w:ascii="Calibri" w:hAnsi="Calibri"/>
      <w:b/>
      <w:bCs/>
    </w:rPr>
  </w:style>
  <w:style w:type="paragraph" w:customStyle="1" w:styleId="TOCHeading1">
    <w:name w:val="TOC Heading1"/>
    <w:basedOn w:val="Heading1"/>
    <w:next w:val="Normal"/>
    <w:uiPriority w:val="39"/>
    <w:semiHidden/>
    <w:unhideWhenUsed/>
    <w:qFormat/>
    <w:rsid w:val="002F6A76"/>
    <w:pPr>
      <w:keepLines/>
      <w:spacing w:before="480" w:after="0"/>
      <w:outlineLvl w:val="9"/>
    </w:pPr>
    <w:rPr>
      <w:rFonts w:ascii="Cambria" w:eastAsia="MS Gothic" w:hAnsi="Cambria"/>
      <w:color w:val="365F91"/>
      <w:kern w:val="0"/>
      <w:szCs w:val="28"/>
      <w:lang w:eastAsia="ja-JP"/>
    </w:rPr>
  </w:style>
  <w:style w:type="paragraph" w:styleId="TOC1">
    <w:name w:val="toc 1"/>
    <w:basedOn w:val="Normal"/>
    <w:next w:val="Normal"/>
    <w:autoRedefine/>
    <w:uiPriority w:val="39"/>
    <w:unhideWhenUsed/>
    <w:rsid w:val="00AA0E20"/>
    <w:pPr>
      <w:tabs>
        <w:tab w:val="right" w:leader="dot" w:pos="10070"/>
      </w:tabs>
      <w:spacing w:after="0"/>
    </w:pPr>
  </w:style>
  <w:style w:type="paragraph" w:styleId="TOC2">
    <w:name w:val="toc 2"/>
    <w:basedOn w:val="Normal"/>
    <w:next w:val="Normal"/>
    <w:autoRedefine/>
    <w:uiPriority w:val="39"/>
    <w:unhideWhenUsed/>
    <w:rsid w:val="00AA0E20"/>
    <w:pPr>
      <w:tabs>
        <w:tab w:val="right" w:leader="dot" w:pos="10070"/>
      </w:tabs>
      <w:spacing w:after="0"/>
      <w:ind w:left="245"/>
    </w:pPr>
  </w:style>
  <w:style w:type="paragraph" w:styleId="TOC3">
    <w:name w:val="toc 3"/>
    <w:basedOn w:val="Normal"/>
    <w:next w:val="Normal"/>
    <w:autoRedefine/>
    <w:uiPriority w:val="39"/>
    <w:unhideWhenUsed/>
    <w:rsid w:val="002F6A76"/>
    <w:pPr>
      <w:ind w:left="480"/>
    </w:pPr>
  </w:style>
  <w:style w:type="paragraph" w:customStyle="1" w:styleId="MediumGrid21">
    <w:name w:val="Medium Grid 21"/>
    <w:link w:val="MediumGrid2Char"/>
    <w:uiPriority w:val="1"/>
    <w:qFormat/>
    <w:rsid w:val="00EC33F4"/>
    <w:rPr>
      <w:rFonts w:ascii="Calibri" w:eastAsia="MS Mincho" w:hAnsi="Calibri"/>
      <w:sz w:val="22"/>
      <w:szCs w:val="22"/>
      <w:lang w:eastAsia="ja-JP"/>
    </w:rPr>
  </w:style>
  <w:style w:type="character" w:customStyle="1" w:styleId="MediumGrid2Char">
    <w:name w:val="Medium Grid 2 Char"/>
    <w:link w:val="MediumGrid21"/>
    <w:uiPriority w:val="1"/>
    <w:rsid w:val="00EC33F4"/>
    <w:rPr>
      <w:rFonts w:ascii="Calibri" w:eastAsia="MS Mincho" w:hAnsi="Calibri"/>
      <w:sz w:val="22"/>
      <w:szCs w:val="22"/>
      <w:lang w:eastAsia="ja-JP" w:bidi="ar-SA"/>
    </w:rPr>
  </w:style>
  <w:style w:type="paragraph" w:styleId="FootnoteText">
    <w:name w:val="footnote text"/>
    <w:basedOn w:val="Normal"/>
    <w:link w:val="FootnoteTextChar"/>
    <w:uiPriority w:val="99"/>
    <w:unhideWhenUsed/>
    <w:rsid w:val="00CB53BB"/>
    <w:rPr>
      <w:rFonts w:ascii="Calibri" w:hAnsi="Calibri"/>
      <w:sz w:val="20"/>
      <w:lang w:val="x-none" w:eastAsia="x-none"/>
    </w:rPr>
  </w:style>
  <w:style w:type="character" w:customStyle="1" w:styleId="FootnoteTextChar">
    <w:name w:val="Footnote Text Char"/>
    <w:link w:val="FootnoteText"/>
    <w:uiPriority w:val="99"/>
    <w:rsid w:val="00CB53BB"/>
    <w:rPr>
      <w:rFonts w:ascii="Calibri" w:hAnsi="Calibri"/>
    </w:rPr>
  </w:style>
  <w:style w:type="character" w:styleId="FootnoteReference">
    <w:name w:val="footnote reference"/>
    <w:uiPriority w:val="99"/>
    <w:semiHidden/>
    <w:unhideWhenUsed/>
    <w:rsid w:val="00CB53BB"/>
    <w:rPr>
      <w:vertAlign w:val="superscript"/>
    </w:rPr>
  </w:style>
  <w:style w:type="paragraph" w:styleId="Subtitle">
    <w:name w:val="Subtitle"/>
    <w:basedOn w:val="Normal"/>
    <w:next w:val="Normal"/>
    <w:link w:val="SubtitleChar"/>
    <w:uiPriority w:val="11"/>
    <w:qFormat/>
    <w:rsid w:val="00F71660"/>
    <w:pPr>
      <w:spacing w:before="240"/>
      <w:outlineLvl w:val="1"/>
    </w:pPr>
    <w:rPr>
      <w:color w:val="861714"/>
      <w:sz w:val="32"/>
      <w:szCs w:val="24"/>
      <w:lang w:val="x-none" w:eastAsia="x-none"/>
    </w:rPr>
  </w:style>
  <w:style w:type="character" w:customStyle="1" w:styleId="SubtitleChar">
    <w:name w:val="Subtitle Char"/>
    <w:link w:val="Subtitle"/>
    <w:uiPriority w:val="11"/>
    <w:rsid w:val="00F71660"/>
    <w:rPr>
      <w:rFonts w:ascii="Arial" w:eastAsia="Times New Roman" w:hAnsi="Arial" w:cs="Times New Roman"/>
      <w:color w:val="861714"/>
      <w:sz w:val="32"/>
      <w:szCs w:val="24"/>
    </w:rPr>
  </w:style>
  <w:style w:type="paragraph" w:styleId="Title">
    <w:name w:val="Title"/>
    <w:basedOn w:val="Normal"/>
    <w:next w:val="Normal"/>
    <w:link w:val="TitleChar"/>
    <w:uiPriority w:val="10"/>
    <w:qFormat/>
    <w:rsid w:val="00516750"/>
    <w:pPr>
      <w:jc w:val="center"/>
      <w:outlineLvl w:val="0"/>
    </w:pPr>
    <w:rPr>
      <w:b/>
      <w:bCs/>
      <w:kern w:val="28"/>
      <w:sz w:val="32"/>
      <w:szCs w:val="32"/>
      <w:lang w:val="x-none" w:eastAsia="x-none"/>
    </w:rPr>
  </w:style>
  <w:style w:type="character" w:customStyle="1" w:styleId="TitleChar">
    <w:name w:val="Title Char"/>
    <w:link w:val="Title"/>
    <w:uiPriority w:val="10"/>
    <w:rsid w:val="00516750"/>
    <w:rPr>
      <w:rFonts w:ascii="Arial" w:hAnsi="Arial"/>
      <w:b/>
      <w:bCs/>
      <w:kern w:val="28"/>
      <w:sz w:val="32"/>
      <w:szCs w:val="32"/>
    </w:rPr>
  </w:style>
  <w:style w:type="paragraph" w:customStyle="1" w:styleId="ColorfulShading-Accent11">
    <w:name w:val="Colorful Shading - Accent 11"/>
    <w:hidden/>
    <w:uiPriority w:val="71"/>
    <w:rsid w:val="00E54AC1"/>
    <w:rPr>
      <w:rFonts w:ascii="Arial" w:hAnsi="Arial"/>
      <w:sz w:val="24"/>
    </w:rPr>
  </w:style>
  <w:style w:type="paragraph" w:styleId="ListParagraph">
    <w:name w:val="List Paragraph"/>
    <w:basedOn w:val="Normal"/>
    <w:uiPriority w:val="72"/>
    <w:qFormat/>
    <w:rsid w:val="0056374B"/>
    <w:pPr>
      <w:ind w:left="720"/>
      <w:contextualSpacing/>
    </w:pPr>
  </w:style>
  <w:style w:type="character" w:customStyle="1" w:styleId="asset-metabar-author">
    <w:name w:val="asset-metabar-author"/>
    <w:basedOn w:val="DefaultParagraphFont"/>
    <w:rsid w:val="005973E5"/>
  </w:style>
  <w:style w:type="character" w:customStyle="1" w:styleId="asset-metabar-time">
    <w:name w:val="asset-metabar-time"/>
    <w:basedOn w:val="DefaultParagraphFont"/>
    <w:rsid w:val="005973E5"/>
  </w:style>
  <w:style w:type="character" w:customStyle="1" w:styleId="HeaderChar">
    <w:name w:val="Header Char"/>
    <w:basedOn w:val="DefaultParagraphFont"/>
    <w:link w:val="Header"/>
    <w:semiHidden/>
    <w:rsid w:val="003908A6"/>
    <w:rPr>
      <w:rFonts w:ascii="Arial" w:hAnsi="Arial"/>
      <w:sz w:val="24"/>
    </w:rPr>
  </w:style>
  <w:style w:type="character" w:customStyle="1" w:styleId="Heading2Char">
    <w:name w:val="Heading 2 Char"/>
    <w:basedOn w:val="DefaultParagraphFont"/>
    <w:link w:val="Heading2"/>
    <w:rsid w:val="00E12CE9"/>
    <w:rPr>
      <w:rFonts w:ascii="Arial" w:hAnsi="Arial" w:cs="Arial"/>
      <w:b/>
      <w:bCs/>
      <w:iCs/>
      <w:color w:val="1A3866"/>
      <w:sz w:val="24"/>
      <w:szCs w:val="28"/>
    </w:rPr>
  </w:style>
  <w:style w:type="character" w:customStyle="1" w:styleId="Heading3Char">
    <w:name w:val="Heading 3 Char"/>
    <w:basedOn w:val="DefaultParagraphFont"/>
    <w:link w:val="Heading3"/>
    <w:rsid w:val="00E12CE9"/>
    <w:rPr>
      <w:rFonts w:ascii="Arial" w:hAnsi="Arial" w:cs="Arial"/>
      <w:b/>
      <w:bCs/>
      <w:sz w:val="24"/>
      <w:szCs w:val="26"/>
    </w:rPr>
  </w:style>
  <w:style w:type="character" w:customStyle="1" w:styleId="Heading4Char">
    <w:name w:val="Heading 4 Char"/>
    <w:basedOn w:val="DefaultParagraphFont"/>
    <w:link w:val="Heading4"/>
    <w:rsid w:val="00E12CE9"/>
    <w:rPr>
      <w:rFonts w:ascii="Cambria" w:hAnsi="Cambria"/>
      <w:b/>
      <w:bCs/>
      <w:sz w:val="26"/>
    </w:rPr>
  </w:style>
  <w:style w:type="paragraph" w:styleId="TOCHeading">
    <w:name w:val="TOC Heading"/>
    <w:basedOn w:val="Heading1"/>
    <w:next w:val="Normal"/>
    <w:uiPriority w:val="39"/>
    <w:unhideWhenUsed/>
    <w:qFormat/>
    <w:rsid w:val="008D0B4F"/>
    <w:pPr>
      <w:keepLines/>
      <w:spacing w:after="0" w:line="259" w:lineRule="auto"/>
      <w:outlineLvl w:val="9"/>
    </w:pPr>
    <w:rPr>
      <w:rFonts w:asciiTheme="majorHAnsi" w:eastAsiaTheme="majorEastAsia" w:hAnsiTheme="majorHAnsi" w:cstheme="majorBidi"/>
      <w:b w:val="0"/>
      <w:bCs w:val="0"/>
      <w:color w:val="365F91" w:themeColor="accent1" w:themeShade="BF"/>
      <w:kern w:val="0"/>
      <w:sz w:val="32"/>
    </w:rPr>
  </w:style>
  <w:style w:type="paragraph" w:styleId="NoSpacing">
    <w:name w:val="No Spacing"/>
    <w:uiPriority w:val="99"/>
    <w:qFormat/>
    <w:rsid w:val="003A437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567">
      <w:bodyDiv w:val="1"/>
      <w:marLeft w:val="0"/>
      <w:marRight w:val="0"/>
      <w:marTop w:val="0"/>
      <w:marBottom w:val="0"/>
      <w:divBdr>
        <w:top w:val="none" w:sz="0" w:space="0" w:color="auto"/>
        <w:left w:val="none" w:sz="0" w:space="0" w:color="auto"/>
        <w:bottom w:val="none" w:sz="0" w:space="0" w:color="auto"/>
        <w:right w:val="none" w:sz="0" w:space="0" w:color="auto"/>
      </w:divBdr>
    </w:div>
    <w:div w:id="8994512">
      <w:bodyDiv w:val="1"/>
      <w:marLeft w:val="0"/>
      <w:marRight w:val="0"/>
      <w:marTop w:val="0"/>
      <w:marBottom w:val="0"/>
      <w:divBdr>
        <w:top w:val="none" w:sz="0" w:space="0" w:color="auto"/>
        <w:left w:val="none" w:sz="0" w:space="0" w:color="auto"/>
        <w:bottom w:val="none" w:sz="0" w:space="0" w:color="auto"/>
        <w:right w:val="none" w:sz="0" w:space="0" w:color="auto"/>
      </w:divBdr>
    </w:div>
    <w:div w:id="19472440">
      <w:bodyDiv w:val="1"/>
      <w:marLeft w:val="0"/>
      <w:marRight w:val="0"/>
      <w:marTop w:val="0"/>
      <w:marBottom w:val="0"/>
      <w:divBdr>
        <w:top w:val="none" w:sz="0" w:space="0" w:color="auto"/>
        <w:left w:val="none" w:sz="0" w:space="0" w:color="auto"/>
        <w:bottom w:val="none" w:sz="0" w:space="0" w:color="auto"/>
        <w:right w:val="none" w:sz="0" w:space="0" w:color="auto"/>
      </w:divBdr>
    </w:div>
    <w:div w:id="65340541">
      <w:bodyDiv w:val="1"/>
      <w:marLeft w:val="0"/>
      <w:marRight w:val="0"/>
      <w:marTop w:val="0"/>
      <w:marBottom w:val="0"/>
      <w:divBdr>
        <w:top w:val="none" w:sz="0" w:space="0" w:color="auto"/>
        <w:left w:val="none" w:sz="0" w:space="0" w:color="auto"/>
        <w:bottom w:val="none" w:sz="0" w:space="0" w:color="auto"/>
        <w:right w:val="none" w:sz="0" w:space="0" w:color="auto"/>
      </w:divBdr>
    </w:div>
    <w:div w:id="81297153">
      <w:bodyDiv w:val="1"/>
      <w:marLeft w:val="0"/>
      <w:marRight w:val="0"/>
      <w:marTop w:val="0"/>
      <w:marBottom w:val="0"/>
      <w:divBdr>
        <w:top w:val="none" w:sz="0" w:space="0" w:color="auto"/>
        <w:left w:val="none" w:sz="0" w:space="0" w:color="auto"/>
        <w:bottom w:val="none" w:sz="0" w:space="0" w:color="auto"/>
        <w:right w:val="none" w:sz="0" w:space="0" w:color="auto"/>
      </w:divBdr>
    </w:div>
    <w:div w:id="106966904">
      <w:bodyDiv w:val="1"/>
      <w:marLeft w:val="0"/>
      <w:marRight w:val="0"/>
      <w:marTop w:val="0"/>
      <w:marBottom w:val="0"/>
      <w:divBdr>
        <w:top w:val="none" w:sz="0" w:space="0" w:color="auto"/>
        <w:left w:val="none" w:sz="0" w:space="0" w:color="auto"/>
        <w:bottom w:val="none" w:sz="0" w:space="0" w:color="auto"/>
        <w:right w:val="none" w:sz="0" w:space="0" w:color="auto"/>
      </w:divBdr>
    </w:div>
    <w:div w:id="108083777">
      <w:bodyDiv w:val="1"/>
      <w:marLeft w:val="0"/>
      <w:marRight w:val="0"/>
      <w:marTop w:val="0"/>
      <w:marBottom w:val="0"/>
      <w:divBdr>
        <w:top w:val="none" w:sz="0" w:space="0" w:color="auto"/>
        <w:left w:val="none" w:sz="0" w:space="0" w:color="auto"/>
        <w:bottom w:val="none" w:sz="0" w:space="0" w:color="auto"/>
        <w:right w:val="none" w:sz="0" w:space="0" w:color="auto"/>
      </w:divBdr>
    </w:div>
    <w:div w:id="109398681">
      <w:bodyDiv w:val="1"/>
      <w:marLeft w:val="0"/>
      <w:marRight w:val="0"/>
      <w:marTop w:val="0"/>
      <w:marBottom w:val="0"/>
      <w:divBdr>
        <w:top w:val="none" w:sz="0" w:space="0" w:color="auto"/>
        <w:left w:val="none" w:sz="0" w:space="0" w:color="auto"/>
        <w:bottom w:val="none" w:sz="0" w:space="0" w:color="auto"/>
        <w:right w:val="none" w:sz="0" w:space="0" w:color="auto"/>
      </w:divBdr>
    </w:div>
    <w:div w:id="134565341">
      <w:bodyDiv w:val="1"/>
      <w:marLeft w:val="0"/>
      <w:marRight w:val="0"/>
      <w:marTop w:val="0"/>
      <w:marBottom w:val="0"/>
      <w:divBdr>
        <w:top w:val="none" w:sz="0" w:space="0" w:color="auto"/>
        <w:left w:val="none" w:sz="0" w:space="0" w:color="auto"/>
        <w:bottom w:val="none" w:sz="0" w:space="0" w:color="auto"/>
        <w:right w:val="none" w:sz="0" w:space="0" w:color="auto"/>
      </w:divBdr>
    </w:div>
    <w:div w:id="167604151">
      <w:bodyDiv w:val="1"/>
      <w:marLeft w:val="0"/>
      <w:marRight w:val="0"/>
      <w:marTop w:val="0"/>
      <w:marBottom w:val="0"/>
      <w:divBdr>
        <w:top w:val="none" w:sz="0" w:space="0" w:color="auto"/>
        <w:left w:val="none" w:sz="0" w:space="0" w:color="auto"/>
        <w:bottom w:val="none" w:sz="0" w:space="0" w:color="auto"/>
        <w:right w:val="none" w:sz="0" w:space="0" w:color="auto"/>
      </w:divBdr>
    </w:div>
    <w:div w:id="175506645">
      <w:bodyDiv w:val="1"/>
      <w:marLeft w:val="0"/>
      <w:marRight w:val="0"/>
      <w:marTop w:val="0"/>
      <w:marBottom w:val="0"/>
      <w:divBdr>
        <w:top w:val="none" w:sz="0" w:space="0" w:color="auto"/>
        <w:left w:val="none" w:sz="0" w:space="0" w:color="auto"/>
        <w:bottom w:val="none" w:sz="0" w:space="0" w:color="auto"/>
        <w:right w:val="none" w:sz="0" w:space="0" w:color="auto"/>
      </w:divBdr>
    </w:div>
    <w:div w:id="187112277">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89439036">
      <w:bodyDiv w:val="1"/>
      <w:marLeft w:val="0"/>
      <w:marRight w:val="0"/>
      <w:marTop w:val="0"/>
      <w:marBottom w:val="0"/>
      <w:divBdr>
        <w:top w:val="none" w:sz="0" w:space="0" w:color="auto"/>
        <w:left w:val="none" w:sz="0" w:space="0" w:color="auto"/>
        <w:bottom w:val="none" w:sz="0" w:space="0" w:color="auto"/>
        <w:right w:val="none" w:sz="0" w:space="0" w:color="auto"/>
      </w:divBdr>
    </w:div>
    <w:div w:id="298415393">
      <w:bodyDiv w:val="1"/>
      <w:marLeft w:val="0"/>
      <w:marRight w:val="0"/>
      <w:marTop w:val="0"/>
      <w:marBottom w:val="0"/>
      <w:divBdr>
        <w:top w:val="none" w:sz="0" w:space="0" w:color="auto"/>
        <w:left w:val="none" w:sz="0" w:space="0" w:color="auto"/>
        <w:bottom w:val="none" w:sz="0" w:space="0" w:color="auto"/>
        <w:right w:val="none" w:sz="0" w:space="0" w:color="auto"/>
      </w:divBdr>
    </w:div>
    <w:div w:id="334233920">
      <w:bodyDiv w:val="1"/>
      <w:marLeft w:val="0"/>
      <w:marRight w:val="0"/>
      <w:marTop w:val="0"/>
      <w:marBottom w:val="0"/>
      <w:divBdr>
        <w:top w:val="none" w:sz="0" w:space="0" w:color="auto"/>
        <w:left w:val="none" w:sz="0" w:space="0" w:color="auto"/>
        <w:bottom w:val="none" w:sz="0" w:space="0" w:color="auto"/>
        <w:right w:val="none" w:sz="0" w:space="0" w:color="auto"/>
      </w:divBdr>
    </w:div>
    <w:div w:id="379209177">
      <w:bodyDiv w:val="1"/>
      <w:marLeft w:val="0"/>
      <w:marRight w:val="0"/>
      <w:marTop w:val="0"/>
      <w:marBottom w:val="0"/>
      <w:divBdr>
        <w:top w:val="none" w:sz="0" w:space="0" w:color="auto"/>
        <w:left w:val="none" w:sz="0" w:space="0" w:color="auto"/>
        <w:bottom w:val="none" w:sz="0" w:space="0" w:color="auto"/>
        <w:right w:val="none" w:sz="0" w:space="0" w:color="auto"/>
      </w:divBdr>
    </w:div>
    <w:div w:id="380834285">
      <w:bodyDiv w:val="1"/>
      <w:marLeft w:val="0"/>
      <w:marRight w:val="0"/>
      <w:marTop w:val="0"/>
      <w:marBottom w:val="0"/>
      <w:divBdr>
        <w:top w:val="none" w:sz="0" w:space="0" w:color="auto"/>
        <w:left w:val="none" w:sz="0" w:space="0" w:color="auto"/>
        <w:bottom w:val="none" w:sz="0" w:space="0" w:color="auto"/>
        <w:right w:val="none" w:sz="0" w:space="0" w:color="auto"/>
      </w:divBdr>
    </w:div>
    <w:div w:id="403070226">
      <w:bodyDiv w:val="1"/>
      <w:marLeft w:val="0"/>
      <w:marRight w:val="0"/>
      <w:marTop w:val="0"/>
      <w:marBottom w:val="0"/>
      <w:divBdr>
        <w:top w:val="none" w:sz="0" w:space="0" w:color="auto"/>
        <w:left w:val="none" w:sz="0" w:space="0" w:color="auto"/>
        <w:bottom w:val="none" w:sz="0" w:space="0" w:color="auto"/>
        <w:right w:val="none" w:sz="0" w:space="0" w:color="auto"/>
      </w:divBdr>
    </w:div>
    <w:div w:id="436945726">
      <w:bodyDiv w:val="1"/>
      <w:marLeft w:val="0"/>
      <w:marRight w:val="0"/>
      <w:marTop w:val="0"/>
      <w:marBottom w:val="0"/>
      <w:divBdr>
        <w:top w:val="none" w:sz="0" w:space="0" w:color="auto"/>
        <w:left w:val="none" w:sz="0" w:space="0" w:color="auto"/>
        <w:bottom w:val="none" w:sz="0" w:space="0" w:color="auto"/>
        <w:right w:val="none" w:sz="0" w:space="0" w:color="auto"/>
      </w:divBdr>
    </w:div>
    <w:div w:id="438336364">
      <w:bodyDiv w:val="1"/>
      <w:marLeft w:val="0"/>
      <w:marRight w:val="0"/>
      <w:marTop w:val="0"/>
      <w:marBottom w:val="0"/>
      <w:divBdr>
        <w:top w:val="none" w:sz="0" w:space="0" w:color="auto"/>
        <w:left w:val="none" w:sz="0" w:space="0" w:color="auto"/>
        <w:bottom w:val="none" w:sz="0" w:space="0" w:color="auto"/>
        <w:right w:val="none" w:sz="0" w:space="0" w:color="auto"/>
      </w:divBdr>
    </w:div>
    <w:div w:id="456223985">
      <w:bodyDiv w:val="1"/>
      <w:marLeft w:val="0"/>
      <w:marRight w:val="0"/>
      <w:marTop w:val="0"/>
      <w:marBottom w:val="0"/>
      <w:divBdr>
        <w:top w:val="none" w:sz="0" w:space="0" w:color="auto"/>
        <w:left w:val="none" w:sz="0" w:space="0" w:color="auto"/>
        <w:bottom w:val="none" w:sz="0" w:space="0" w:color="auto"/>
        <w:right w:val="none" w:sz="0" w:space="0" w:color="auto"/>
      </w:divBdr>
    </w:div>
    <w:div w:id="473104578">
      <w:bodyDiv w:val="1"/>
      <w:marLeft w:val="0"/>
      <w:marRight w:val="0"/>
      <w:marTop w:val="0"/>
      <w:marBottom w:val="0"/>
      <w:divBdr>
        <w:top w:val="none" w:sz="0" w:space="0" w:color="auto"/>
        <w:left w:val="none" w:sz="0" w:space="0" w:color="auto"/>
        <w:bottom w:val="none" w:sz="0" w:space="0" w:color="auto"/>
        <w:right w:val="none" w:sz="0" w:space="0" w:color="auto"/>
      </w:divBdr>
    </w:div>
    <w:div w:id="483352307">
      <w:bodyDiv w:val="1"/>
      <w:marLeft w:val="0"/>
      <w:marRight w:val="0"/>
      <w:marTop w:val="0"/>
      <w:marBottom w:val="0"/>
      <w:divBdr>
        <w:top w:val="none" w:sz="0" w:space="0" w:color="auto"/>
        <w:left w:val="none" w:sz="0" w:space="0" w:color="auto"/>
        <w:bottom w:val="none" w:sz="0" w:space="0" w:color="auto"/>
        <w:right w:val="none" w:sz="0" w:space="0" w:color="auto"/>
      </w:divBdr>
    </w:div>
    <w:div w:id="484980116">
      <w:bodyDiv w:val="1"/>
      <w:marLeft w:val="0"/>
      <w:marRight w:val="0"/>
      <w:marTop w:val="0"/>
      <w:marBottom w:val="0"/>
      <w:divBdr>
        <w:top w:val="none" w:sz="0" w:space="0" w:color="auto"/>
        <w:left w:val="none" w:sz="0" w:space="0" w:color="auto"/>
        <w:bottom w:val="none" w:sz="0" w:space="0" w:color="auto"/>
        <w:right w:val="none" w:sz="0" w:space="0" w:color="auto"/>
      </w:divBdr>
    </w:div>
    <w:div w:id="489905433">
      <w:bodyDiv w:val="1"/>
      <w:marLeft w:val="0"/>
      <w:marRight w:val="0"/>
      <w:marTop w:val="0"/>
      <w:marBottom w:val="0"/>
      <w:divBdr>
        <w:top w:val="none" w:sz="0" w:space="0" w:color="auto"/>
        <w:left w:val="none" w:sz="0" w:space="0" w:color="auto"/>
        <w:bottom w:val="none" w:sz="0" w:space="0" w:color="auto"/>
        <w:right w:val="none" w:sz="0" w:space="0" w:color="auto"/>
      </w:divBdr>
    </w:div>
    <w:div w:id="513761638">
      <w:bodyDiv w:val="1"/>
      <w:marLeft w:val="0"/>
      <w:marRight w:val="0"/>
      <w:marTop w:val="0"/>
      <w:marBottom w:val="0"/>
      <w:divBdr>
        <w:top w:val="none" w:sz="0" w:space="0" w:color="auto"/>
        <w:left w:val="none" w:sz="0" w:space="0" w:color="auto"/>
        <w:bottom w:val="none" w:sz="0" w:space="0" w:color="auto"/>
        <w:right w:val="none" w:sz="0" w:space="0" w:color="auto"/>
      </w:divBdr>
    </w:div>
    <w:div w:id="533464760">
      <w:bodyDiv w:val="1"/>
      <w:marLeft w:val="0"/>
      <w:marRight w:val="0"/>
      <w:marTop w:val="0"/>
      <w:marBottom w:val="0"/>
      <w:divBdr>
        <w:top w:val="none" w:sz="0" w:space="0" w:color="auto"/>
        <w:left w:val="none" w:sz="0" w:space="0" w:color="auto"/>
        <w:bottom w:val="none" w:sz="0" w:space="0" w:color="auto"/>
        <w:right w:val="none" w:sz="0" w:space="0" w:color="auto"/>
      </w:divBdr>
    </w:div>
    <w:div w:id="548883902">
      <w:bodyDiv w:val="1"/>
      <w:marLeft w:val="0"/>
      <w:marRight w:val="0"/>
      <w:marTop w:val="0"/>
      <w:marBottom w:val="0"/>
      <w:divBdr>
        <w:top w:val="none" w:sz="0" w:space="0" w:color="auto"/>
        <w:left w:val="none" w:sz="0" w:space="0" w:color="auto"/>
        <w:bottom w:val="none" w:sz="0" w:space="0" w:color="auto"/>
        <w:right w:val="none" w:sz="0" w:space="0" w:color="auto"/>
      </w:divBdr>
    </w:div>
    <w:div w:id="551969176">
      <w:bodyDiv w:val="1"/>
      <w:marLeft w:val="0"/>
      <w:marRight w:val="0"/>
      <w:marTop w:val="0"/>
      <w:marBottom w:val="0"/>
      <w:divBdr>
        <w:top w:val="none" w:sz="0" w:space="0" w:color="auto"/>
        <w:left w:val="none" w:sz="0" w:space="0" w:color="auto"/>
        <w:bottom w:val="none" w:sz="0" w:space="0" w:color="auto"/>
        <w:right w:val="none" w:sz="0" w:space="0" w:color="auto"/>
      </w:divBdr>
    </w:div>
    <w:div w:id="654573736">
      <w:bodyDiv w:val="1"/>
      <w:marLeft w:val="0"/>
      <w:marRight w:val="0"/>
      <w:marTop w:val="0"/>
      <w:marBottom w:val="0"/>
      <w:divBdr>
        <w:top w:val="none" w:sz="0" w:space="0" w:color="auto"/>
        <w:left w:val="none" w:sz="0" w:space="0" w:color="auto"/>
        <w:bottom w:val="none" w:sz="0" w:space="0" w:color="auto"/>
        <w:right w:val="none" w:sz="0" w:space="0" w:color="auto"/>
      </w:divBdr>
    </w:div>
    <w:div w:id="673454457">
      <w:bodyDiv w:val="1"/>
      <w:marLeft w:val="0"/>
      <w:marRight w:val="0"/>
      <w:marTop w:val="0"/>
      <w:marBottom w:val="0"/>
      <w:divBdr>
        <w:top w:val="none" w:sz="0" w:space="0" w:color="auto"/>
        <w:left w:val="none" w:sz="0" w:space="0" w:color="auto"/>
        <w:bottom w:val="none" w:sz="0" w:space="0" w:color="auto"/>
        <w:right w:val="none" w:sz="0" w:space="0" w:color="auto"/>
      </w:divBdr>
    </w:div>
    <w:div w:id="684019383">
      <w:bodyDiv w:val="1"/>
      <w:marLeft w:val="0"/>
      <w:marRight w:val="0"/>
      <w:marTop w:val="0"/>
      <w:marBottom w:val="0"/>
      <w:divBdr>
        <w:top w:val="none" w:sz="0" w:space="0" w:color="auto"/>
        <w:left w:val="none" w:sz="0" w:space="0" w:color="auto"/>
        <w:bottom w:val="none" w:sz="0" w:space="0" w:color="auto"/>
        <w:right w:val="none" w:sz="0" w:space="0" w:color="auto"/>
      </w:divBdr>
    </w:div>
    <w:div w:id="707878833">
      <w:bodyDiv w:val="1"/>
      <w:marLeft w:val="0"/>
      <w:marRight w:val="0"/>
      <w:marTop w:val="0"/>
      <w:marBottom w:val="0"/>
      <w:divBdr>
        <w:top w:val="none" w:sz="0" w:space="0" w:color="auto"/>
        <w:left w:val="none" w:sz="0" w:space="0" w:color="auto"/>
        <w:bottom w:val="none" w:sz="0" w:space="0" w:color="auto"/>
        <w:right w:val="none" w:sz="0" w:space="0" w:color="auto"/>
      </w:divBdr>
    </w:div>
    <w:div w:id="714238491">
      <w:bodyDiv w:val="1"/>
      <w:marLeft w:val="0"/>
      <w:marRight w:val="0"/>
      <w:marTop w:val="0"/>
      <w:marBottom w:val="0"/>
      <w:divBdr>
        <w:top w:val="none" w:sz="0" w:space="0" w:color="auto"/>
        <w:left w:val="none" w:sz="0" w:space="0" w:color="auto"/>
        <w:bottom w:val="none" w:sz="0" w:space="0" w:color="auto"/>
        <w:right w:val="none" w:sz="0" w:space="0" w:color="auto"/>
      </w:divBdr>
      <w:divsChild>
        <w:div w:id="839390212">
          <w:marLeft w:val="0"/>
          <w:marRight w:val="0"/>
          <w:marTop w:val="0"/>
          <w:marBottom w:val="0"/>
          <w:divBdr>
            <w:top w:val="none" w:sz="0" w:space="0" w:color="auto"/>
            <w:left w:val="none" w:sz="0" w:space="0" w:color="auto"/>
            <w:bottom w:val="none" w:sz="0" w:space="0" w:color="auto"/>
            <w:right w:val="none" w:sz="0" w:space="0" w:color="auto"/>
          </w:divBdr>
        </w:div>
        <w:div w:id="1491825670">
          <w:marLeft w:val="0"/>
          <w:marRight w:val="0"/>
          <w:marTop w:val="0"/>
          <w:marBottom w:val="0"/>
          <w:divBdr>
            <w:top w:val="none" w:sz="0" w:space="0" w:color="auto"/>
            <w:left w:val="none" w:sz="0" w:space="0" w:color="auto"/>
            <w:bottom w:val="none" w:sz="0" w:space="0" w:color="auto"/>
            <w:right w:val="none" w:sz="0" w:space="0" w:color="auto"/>
          </w:divBdr>
        </w:div>
      </w:divsChild>
    </w:div>
    <w:div w:id="756513437">
      <w:bodyDiv w:val="1"/>
      <w:marLeft w:val="0"/>
      <w:marRight w:val="0"/>
      <w:marTop w:val="0"/>
      <w:marBottom w:val="0"/>
      <w:divBdr>
        <w:top w:val="none" w:sz="0" w:space="0" w:color="auto"/>
        <w:left w:val="none" w:sz="0" w:space="0" w:color="auto"/>
        <w:bottom w:val="none" w:sz="0" w:space="0" w:color="auto"/>
        <w:right w:val="none" w:sz="0" w:space="0" w:color="auto"/>
      </w:divBdr>
    </w:div>
    <w:div w:id="771166594">
      <w:bodyDiv w:val="1"/>
      <w:marLeft w:val="0"/>
      <w:marRight w:val="0"/>
      <w:marTop w:val="0"/>
      <w:marBottom w:val="0"/>
      <w:divBdr>
        <w:top w:val="none" w:sz="0" w:space="0" w:color="auto"/>
        <w:left w:val="none" w:sz="0" w:space="0" w:color="auto"/>
        <w:bottom w:val="none" w:sz="0" w:space="0" w:color="auto"/>
        <w:right w:val="none" w:sz="0" w:space="0" w:color="auto"/>
      </w:divBdr>
    </w:div>
    <w:div w:id="789084879">
      <w:bodyDiv w:val="1"/>
      <w:marLeft w:val="0"/>
      <w:marRight w:val="0"/>
      <w:marTop w:val="0"/>
      <w:marBottom w:val="0"/>
      <w:divBdr>
        <w:top w:val="none" w:sz="0" w:space="0" w:color="auto"/>
        <w:left w:val="none" w:sz="0" w:space="0" w:color="auto"/>
        <w:bottom w:val="none" w:sz="0" w:space="0" w:color="auto"/>
        <w:right w:val="none" w:sz="0" w:space="0" w:color="auto"/>
      </w:divBdr>
    </w:div>
    <w:div w:id="801575656">
      <w:bodyDiv w:val="1"/>
      <w:marLeft w:val="0"/>
      <w:marRight w:val="0"/>
      <w:marTop w:val="0"/>
      <w:marBottom w:val="0"/>
      <w:divBdr>
        <w:top w:val="none" w:sz="0" w:space="0" w:color="auto"/>
        <w:left w:val="none" w:sz="0" w:space="0" w:color="auto"/>
        <w:bottom w:val="none" w:sz="0" w:space="0" w:color="auto"/>
        <w:right w:val="none" w:sz="0" w:space="0" w:color="auto"/>
      </w:divBdr>
    </w:div>
    <w:div w:id="809595693">
      <w:bodyDiv w:val="1"/>
      <w:marLeft w:val="0"/>
      <w:marRight w:val="0"/>
      <w:marTop w:val="0"/>
      <w:marBottom w:val="0"/>
      <w:divBdr>
        <w:top w:val="none" w:sz="0" w:space="0" w:color="auto"/>
        <w:left w:val="none" w:sz="0" w:space="0" w:color="auto"/>
        <w:bottom w:val="none" w:sz="0" w:space="0" w:color="auto"/>
        <w:right w:val="none" w:sz="0" w:space="0" w:color="auto"/>
      </w:divBdr>
    </w:div>
    <w:div w:id="829636610">
      <w:bodyDiv w:val="1"/>
      <w:marLeft w:val="0"/>
      <w:marRight w:val="0"/>
      <w:marTop w:val="0"/>
      <w:marBottom w:val="0"/>
      <w:divBdr>
        <w:top w:val="none" w:sz="0" w:space="0" w:color="auto"/>
        <w:left w:val="none" w:sz="0" w:space="0" w:color="auto"/>
        <w:bottom w:val="none" w:sz="0" w:space="0" w:color="auto"/>
        <w:right w:val="none" w:sz="0" w:space="0" w:color="auto"/>
      </w:divBdr>
    </w:div>
    <w:div w:id="831867697">
      <w:bodyDiv w:val="1"/>
      <w:marLeft w:val="0"/>
      <w:marRight w:val="0"/>
      <w:marTop w:val="0"/>
      <w:marBottom w:val="0"/>
      <w:divBdr>
        <w:top w:val="none" w:sz="0" w:space="0" w:color="auto"/>
        <w:left w:val="none" w:sz="0" w:space="0" w:color="auto"/>
        <w:bottom w:val="none" w:sz="0" w:space="0" w:color="auto"/>
        <w:right w:val="none" w:sz="0" w:space="0" w:color="auto"/>
      </w:divBdr>
    </w:div>
    <w:div w:id="838622739">
      <w:bodyDiv w:val="1"/>
      <w:marLeft w:val="0"/>
      <w:marRight w:val="0"/>
      <w:marTop w:val="0"/>
      <w:marBottom w:val="0"/>
      <w:divBdr>
        <w:top w:val="none" w:sz="0" w:space="0" w:color="auto"/>
        <w:left w:val="none" w:sz="0" w:space="0" w:color="auto"/>
        <w:bottom w:val="none" w:sz="0" w:space="0" w:color="auto"/>
        <w:right w:val="none" w:sz="0" w:space="0" w:color="auto"/>
      </w:divBdr>
    </w:div>
    <w:div w:id="866023508">
      <w:bodyDiv w:val="1"/>
      <w:marLeft w:val="0"/>
      <w:marRight w:val="0"/>
      <w:marTop w:val="0"/>
      <w:marBottom w:val="0"/>
      <w:divBdr>
        <w:top w:val="none" w:sz="0" w:space="0" w:color="auto"/>
        <w:left w:val="none" w:sz="0" w:space="0" w:color="auto"/>
        <w:bottom w:val="none" w:sz="0" w:space="0" w:color="auto"/>
        <w:right w:val="none" w:sz="0" w:space="0" w:color="auto"/>
      </w:divBdr>
    </w:div>
    <w:div w:id="881476995">
      <w:bodyDiv w:val="1"/>
      <w:marLeft w:val="0"/>
      <w:marRight w:val="0"/>
      <w:marTop w:val="0"/>
      <w:marBottom w:val="0"/>
      <w:divBdr>
        <w:top w:val="none" w:sz="0" w:space="0" w:color="auto"/>
        <w:left w:val="none" w:sz="0" w:space="0" w:color="auto"/>
        <w:bottom w:val="none" w:sz="0" w:space="0" w:color="auto"/>
        <w:right w:val="none" w:sz="0" w:space="0" w:color="auto"/>
      </w:divBdr>
    </w:div>
    <w:div w:id="891497177">
      <w:bodyDiv w:val="1"/>
      <w:marLeft w:val="0"/>
      <w:marRight w:val="0"/>
      <w:marTop w:val="0"/>
      <w:marBottom w:val="0"/>
      <w:divBdr>
        <w:top w:val="none" w:sz="0" w:space="0" w:color="auto"/>
        <w:left w:val="none" w:sz="0" w:space="0" w:color="auto"/>
        <w:bottom w:val="none" w:sz="0" w:space="0" w:color="auto"/>
        <w:right w:val="none" w:sz="0" w:space="0" w:color="auto"/>
      </w:divBdr>
    </w:div>
    <w:div w:id="894583580">
      <w:bodyDiv w:val="1"/>
      <w:marLeft w:val="0"/>
      <w:marRight w:val="0"/>
      <w:marTop w:val="0"/>
      <w:marBottom w:val="0"/>
      <w:divBdr>
        <w:top w:val="none" w:sz="0" w:space="0" w:color="auto"/>
        <w:left w:val="none" w:sz="0" w:space="0" w:color="auto"/>
        <w:bottom w:val="none" w:sz="0" w:space="0" w:color="auto"/>
        <w:right w:val="none" w:sz="0" w:space="0" w:color="auto"/>
      </w:divBdr>
    </w:div>
    <w:div w:id="922298174">
      <w:bodyDiv w:val="1"/>
      <w:marLeft w:val="0"/>
      <w:marRight w:val="0"/>
      <w:marTop w:val="0"/>
      <w:marBottom w:val="0"/>
      <w:divBdr>
        <w:top w:val="none" w:sz="0" w:space="0" w:color="auto"/>
        <w:left w:val="none" w:sz="0" w:space="0" w:color="auto"/>
        <w:bottom w:val="none" w:sz="0" w:space="0" w:color="auto"/>
        <w:right w:val="none" w:sz="0" w:space="0" w:color="auto"/>
      </w:divBdr>
    </w:div>
    <w:div w:id="922683007">
      <w:bodyDiv w:val="1"/>
      <w:marLeft w:val="0"/>
      <w:marRight w:val="0"/>
      <w:marTop w:val="0"/>
      <w:marBottom w:val="0"/>
      <w:divBdr>
        <w:top w:val="none" w:sz="0" w:space="0" w:color="auto"/>
        <w:left w:val="none" w:sz="0" w:space="0" w:color="auto"/>
        <w:bottom w:val="none" w:sz="0" w:space="0" w:color="auto"/>
        <w:right w:val="none" w:sz="0" w:space="0" w:color="auto"/>
      </w:divBdr>
    </w:div>
    <w:div w:id="947394844">
      <w:bodyDiv w:val="1"/>
      <w:marLeft w:val="0"/>
      <w:marRight w:val="0"/>
      <w:marTop w:val="0"/>
      <w:marBottom w:val="0"/>
      <w:divBdr>
        <w:top w:val="none" w:sz="0" w:space="0" w:color="auto"/>
        <w:left w:val="none" w:sz="0" w:space="0" w:color="auto"/>
        <w:bottom w:val="none" w:sz="0" w:space="0" w:color="auto"/>
        <w:right w:val="none" w:sz="0" w:space="0" w:color="auto"/>
      </w:divBdr>
    </w:div>
    <w:div w:id="966663581">
      <w:bodyDiv w:val="1"/>
      <w:marLeft w:val="0"/>
      <w:marRight w:val="0"/>
      <w:marTop w:val="0"/>
      <w:marBottom w:val="0"/>
      <w:divBdr>
        <w:top w:val="none" w:sz="0" w:space="0" w:color="auto"/>
        <w:left w:val="none" w:sz="0" w:space="0" w:color="auto"/>
        <w:bottom w:val="none" w:sz="0" w:space="0" w:color="auto"/>
        <w:right w:val="none" w:sz="0" w:space="0" w:color="auto"/>
      </w:divBdr>
    </w:div>
    <w:div w:id="1001658775">
      <w:bodyDiv w:val="1"/>
      <w:marLeft w:val="0"/>
      <w:marRight w:val="0"/>
      <w:marTop w:val="0"/>
      <w:marBottom w:val="0"/>
      <w:divBdr>
        <w:top w:val="none" w:sz="0" w:space="0" w:color="auto"/>
        <w:left w:val="none" w:sz="0" w:space="0" w:color="auto"/>
        <w:bottom w:val="none" w:sz="0" w:space="0" w:color="auto"/>
        <w:right w:val="none" w:sz="0" w:space="0" w:color="auto"/>
      </w:divBdr>
    </w:div>
    <w:div w:id="1005672329">
      <w:bodyDiv w:val="1"/>
      <w:marLeft w:val="0"/>
      <w:marRight w:val="0"/>
      <w:marTop w:val="0"/>
      <w:marBottom w:val="0"/>
      <w:divBdr>
        <w:top w:val="none" w:sz="0" w:space="0" w:color="auto"/>
        <w:left w:val="none" w:sz="0" w:space="0" w:color="auto"/>
        <w:bottom w:val="none" w:sz="0" w:space="0" w:color="auto"/>
        <w:right w:val="none" w:sz="0" w:space="0" w:color="auto"/>
      </w:divBdr>
    </w:div>
    <w:div w:id="1019962889">
      <w:bodyDiv w:val="1"/>
      <w:marLeft w:val="0"/>
      <w:marRight w:val="0"/>
      <w:marTop w:val="0"/>
      <w:marBottom w:val="0"/>
      <w:divBdr>
        <w:top w:val="none" w:sz="0" w:space="0" w:color="auto"/>
        <w:left w:val="none" w:sz="0" w:space="0" w:color="auto"/>
        <w:bottom w:val="none" w:sz="0" w:space="0" w:color="auto"/>
        <w:right w:val="none" w:sz="0" w:space="0" w:color="auto"/>
      </w:divBdr>
    </w:div>
    <w:div w:id="1024867668">
      <w:bodyDiv w:val="1"/>
      <w:marLeft w:val="0"/>
      <w:marRight w:val="0"/>
      <w:marTop w:val="0"/>
      <w:marBottom w:val="0"/>
      <w:divBdr>
        <w:top w:val="none" w:sz="0" w:space="0" w:color="auto"/>
        <w:left w:val="none" w:sz="0" w:space="0" w:color="auto"/>
        <w:bottom w:val="none" w:sz="0" w:space="0" w:color="auto"/>
        <w:right w:val="none" w:sz="0" w:space="0" w:color="auto"/>
      </w:divBdr>
    </w:div>
    <w:div w:id="1035233916">
      <w:bodyDiv w:val="1"/>
      <w:marLeft w:val="0"/>
      <w:marRight w:val="0"/>
      <w:marTop w:val="0"/>
      <w:marBottom w:val="0"/>
      <w:divBdr>
        <w:top w:val="none" w:sz="0" w:space="0" w:color="auto"/>
        <w:left w:val="none" w:sz="0" w:space="0" w:color="auto"/>
        <w:bottom w:val="none" w:sz="0" w:space="0" w:color="auto"/>
        <w:right w:val="none" w:sz="0" w:space="0" w:color="auto"/>
      </w:divBdr>
    </w:div>
    <w:div w:id="1046953141">
      <w:bodyDiv w:val="1"/>
      <w:marLeft w:val="0"/>
      <w:marRight w:val="0"/>
      <w:marTop w:val="0"/>
      <w:marBottom w:val="0"/>
      <w:divBdr>
        <w:top w:val="none" w:sz="0" w:space="0" w:color="auto"/>
        <w:left w:val="none" w:sz="0" w:space="0" w:color="auto"/>
        <w:bottom w:val="none" w:sz="0" w:space="0" w:color="auto"/>
        <w:right w:val="none" w:sz="0" w:space="0" w:color="auto"/>
      </w:divBdr>
    </w:div>
    <w:div w:id="1089932629">
      <w:bodyDiv w:val="1"/>
      <w:marLeft w:val="0"/>
      <w:marRight w:val="0"/>
      <w:marTop w:val="0"/>
      <w:marBottom w:val="0"/>
      <w:divBdr>
        <w:top w:val="none" w:sz="0" w:space="0" w:color="auto"/>
        <w:left w:val="none" w:sz="0" w:space="0" w:color="auto"/>
        <w:bottom w:val="none" w:sz="0" w:space="0" w:color="auto"/>
        <w:right w:val="none" w:sz="0" w:space="0" w:color="auto"/>
      </w:divBdr>
    </w:div>
    <w:div w:id="1094476491">
      <w:bodyDiv w:val="1"/>
      <w:marLeft w:val="0"/>
      <w:marRight w:val="0"/>
      <w:marTop w:val="0"/>
      <w:marBottom w:val="0"/>
      <w:divBdr>
        <w:top w:val="none" w:sz="0" w:space="0" w:color="auto"/>
        <w:left w:val="none" w:sz="0" w:space="0" w:color="auto"/>
        <w:bottom w:val="none" w:sz="0" w:space="0" w:color="auto"/>
        <w:right w:val="none" w:sz="0" w:space="0" w:color="auto"/>
      </w:divBdr>
    </w:div>
    <w:div w:id="1107310476">
      <w:bodyDiv w:val="1"/>
      <w:marLeft w:val="0"/>
      <w:marRight w:val="0"/>
      <w:marTop w:val="0"/>
      <w:marBottom w:val="0"/>
      <w:divBdr>
        <w:top w:val="none" w:sz="0" w:space="0" w:color="auto"/>
        <w:left w:val="none" w:sz="0" w:space="0" w:color="auto"/>
        <w:bottom w:val="none" w:sz="0" w:space="0" w:color="auto"/>
        <w:right w:val="none" w:sz="0" w:space="0" w:color="auto"/>
      </w:divBdr>
    </w:div>
    <w:div w:id="1119372992">
      <w:bodyDiv w:val="1"/>
      <w:marLeft w:val="0"/>
      <w:marRight w:val="0"/>
      <w:marTop w:val="0"/>
      <w:marBottom w:val="0"/>
      <w:divBdr>
        <w:top w:val="none" w:sz="0" w:space="0" w:color="auto"/>
        <w:left w:val="none" w:sz="0" w:space="0" w:color="auto"/>
        <w:bottom w:val="none" w:sz="0" w:space="0" w:color="auto"/>
        <w:right w:val="none" w:sz="0" w:space="0" w:color="auto"/>
      </w:divBdr>
    </w:div>
    <w:div w:id="1145245145">
      <w:bodyDiv w:val="1"/>
      <w:marLeft w:val="0"/>
      <w:marRight w:val="0"/>
      <w:marTop w:val="0"/>
      <w:marBottom w:val="0"/>
      <w:divBdr>
        <w:top w:val="none" w:sz="0" w:space="0" w:color="auto"/>
        <w:left w:val="none" w:sz="0" w:space="0" w:color="auto"/>
        <w:bottom w:val="none" w:sz="0" w:space="0" w:color="auto"/>
        <w:right w:val="none" w:sz="0" w:space="0" w:color="auto"/>
      </w:divBdr>
    </w:div>
    <w:div w:id="1163937269">
      <w:bodyDiv w:val="1"/>
      <w:marLeft w:val="0"/>
      <w:marRight w:val="0"/>
      <w:marTop w:val="0"/>
      <w:marBottom w:val="0"/>
      <w:divBdr>
        <w:top w:val="none" w:sz="0" w:space="0" w:color="auto"/>
        <w:left w:val="none" w:sz="0" w:space="0" w:color="auto"/>
        <w:bottom w:val="none" w:sz="0" w:space="0" w:color="auto"/>
        <w:right w:val="none" w:sz="0" w:space="0" w:color="auto"/>
      </w:divBdr>
    </w:div>
    <w:div w:id="1182818211">
      <w:bodyDiv w:val="1"/>
      <w:marLeft w:val="0"/>
      <w:marRight w:val="0"/>
      <w:marTop w:val="0"/>
      <w:marBottom w:val="0"/>
      <w:divBdr>
        <w:top w:val="none" w:sz="0" w:space="0" w:color="auto"/>
        <w:left w:val="none" w:sz="0" w:space="0" w:color="auto"/>
        <w:bottom w:val="none" w:sz="0" w:space="0" w:color="auto"/>
        <w:right w:val="none" w:sz="0" w:space="0" w:color="auto"/>
      </w:divBdr>
    </w:div>
    <w:div w:id="1183012575">
      <w:bodyDiv w:val="1"/>
      <w:marLeft w:val="0"/>
      <w:marRight w:val="0"/>
      <w:marTop w:val="0"/>
      <w:marBottom w:val="0"/>
      <w:divBdr>
        <w:top w:val="none" w:sz="0" w:space="0" w:color="auto"/>
        <w:left w:val="none" w:sz="0" w:space="0" w:color="auto"/>
        <w:bottom w:val="none" w:sz="0" w:space="0" w:color="auto"/>
        <w:right w:val="none" w:sz="0" w:space="0" w:color="auto"/>
      </w:divBdr>
    </w:div>
    <w:div w:id="1217811451">
      <w:bodyDiv w:val="1"/>
      <w:marLeft w:val="0"/>
      <w:marRight w:val="0"/>
      <w:marTop w:val="0"/>
      <w:marBottom w:val="0"/>
      <w:divBdr>
        <w:top w:val="none" w:sz="0" w:space="0" w:color="auto"/>
        <w:left w:val="none" w:sz="0" w:space="0" w:color="auto"/>
        <w:bottom w:val="none" w:sz="0" w:space="0" w:color="auto"/>
        <w:right w:val="none" w:sz="0" w:space="0" w:color="auto"/>
      </w:divBdr>
    </w:div>
    <w:div w:id="1228801188">
      <w:bodyDiv w:val="1"/>
      <w:marLeft w:val="0"/>
      <w:marRight w:val="0"/>
      <w:marTop w:val="0"/>
      <w:marBottom w:val="0"/>
      <w:divBdr>
        <w:top w:val="none" w:sz="0" w:space="0" w:color="auto"/>
        <w:left w:val="none" w:sz="0" w:space="0" w:color="auto"/>
        <w:bottom w:val="none" w:sz="0" w:space="0" w:color="auto"/>
        <w:right w:val="none" w:sz="0" w:space="0" w:color="auto"/>
      </w:divBdr>
    </w:div>
    <w:div w:id="1257713761">
      <w:bodyDiv w:val="1"/>
      <w:marLeft w:val="0"/>
      <w:marRight w:val="0"/>
      <w:marTop w:val="0"/>
      <w:marBottom w:val="0"/>
      <w:divBdr>
        <w:top w:val="none" w:sz="0" w:space="0" w:color="auto"/>
        <w:left w:val="none" w:sz="0" w:space="0" w:color="auto"/>
        <w:bottom w:val="none" w:sz="0" w:space="0" w:color="auto"/>
        <w:right w:val="none" w:sz="0" w:space="0" w:color="auto"/>
      </w:divBdr>
    </w:div>
    <w:div w:id="1268730050">
      <w:bodyDiv w:val="1"/>
      <w:marLeft w:val="0"/>
      <w:marRight w:val="0"/>
      <w:marTop w:val="0"/>
      <w:marBottom w:val="0"/>
      <w:divBdr>
        <w:top w:val="none" w:sz="0" w:space="0" w:color="auto"/>
        <w:left w:val="none" w:sz="0" w:space="0" w:color="auto"/>
        <w:bottom w:val="none" w:sz="0" w:space="0" w:color="auto"/>
        <w:right w:val="none" w:sz="0" w:space="0" w:color="auto"/>
      </w:divBdr>
    </w:div>
    <w:div w:id="1281837404">
      <w:bodyDiv w:val="1"/>
      <w:marLeft w:val="0"/>
      <w:marRight w:val="0"/>
      <w:marTop w:val="0"/>
      <w:marBottom w:val="0"/>
      <w:divBdr>
        <w:top w:val="none" w:sz="0" w:space="0" w:color="auto"/>
        <w:left w:val="none" w:sz="0" w:space="0" w:color="auto"/>
        <w:bottom w:val="none" w:sz="0" w:space="0" w:color="auto"/>
        <w:right w:val="none" w:sz="0" w:space="0" w:color="auto"/>
      </w:divBdr>
    </w:div>
    <w:div w:id="1284775922">
      <w:bodyDiv w:val="1"/>
      <w:marLeft w:val="0"/>
      <w:marRight w:val="0"/>
      <w:marTop w:val="0"/>
      <w:marBottom w:val="0"/>
      <w:divBdr>
        <w:top w:val="none" w:sz="0" w:space="0" w:color="auto"/>
        <w:left w:val="none" w:sz="0" w:space="0" w:color="auto"/>
        <w:bottom w:val="none" w:sz="0" w:space="0" w:color="auto"/>
        <w:right w:val="none" w:sz="0" w:space="0" w:color="auto"/>
      </w:divBdr>
    </w:div>
    <w:div w:id="1286354037">
      <w:bodyDiv w:val="1"/>
      <w:marLeft w:val="0"/>
      <w:marRight w:val="0"/>
      <w:marTop w:val="0"/>
      <w:marBottom w:val="0"/>
      <w:divBdr>
        <w:top w:val="none" w:sz="0" w:space="0" w:color="auto"/>
        <w:left w:val="none" w:sz="0" w:space="0" w:color="auto"/>
        <w:bottom w:val="none" w:sz="0" w:space="0" w:color="auto"/>
        <w:right w:val="none" w:sz="0" w:space="0" w:color="auto"/>
      </w:divBdr>
    </w:div>
    <w:div w:id="1309168756">
      <w:bodyDiv w:val="1"/>
      <w:marLeft w:val="0"/>
      <w:marRight w:val="0"/>
      <w:marTop w:val="0"/>
      <w:marBottom w:val="0"/>
      <w:divBdr>
        <w:top w:val="none" w:sz="0" w:space="0" w:color="auto"/>
        <w:left w:val="none" w:sz="0" w:space="0" w:color="auto"/>
        <w:bottom w:val="none" w:sz="0" w:space="0" w:color="auto"/>
        <w:right w:val="none" w:sz="0" w:space="0" w:color="auto"/>
      </w:divBdr>
    </w:div>
    <w:div w:id="1372726070">
      <w:bodyDiv w:val="1"/>
      <w:marLeft w:val="0"/>
      <w:marRight w:val="0"/>
      <w:marTop w:val="0"/>
      <w:marBottom w:val="0"/>
      <w:divBdr>
        <w:top w:val="none" w:sz="0" w:space="0" w:color="auto"/>
        <w:left w:val="none" w:sz="0" w:space="0" w:color="auto"/>
        <w:bottom w:val="none" w:sz="0" w:space="0" w:color="auto"/>
        <w:right w:val="none" w:sz="0" w:space="0" w:color="auto"/>
      </w:divBdr>
    </w:div>
    <w:div w:id="1373307713">
      <w:bodyDiv w:val="1"/>
      <w:marLeft w:val="0"/>
      <w:marRight w:val="0"/>
      <w:marTop w:val="0"/>
      <w:marBottom w:val="0"/>
      <w:divBdr>
        <w:top w:val="none" w:sz="0" w:space="0" w:color="auto"/>
        <w:left w:val="none" w:sz="0" w:space="0" w:color="auto"/>
        <w:bottom w:val="none" w:sz="0" w:space="0" w:color="auto"/>
        <w:right w:val="none" w:sz="0" w:space="0" w:color="auto"/>
      </w:divBdr>
    </w:div>
    <w:div w:id="1384329338">
      <w:bodyDiv w:val="1"/>
      <w:marLeft w:val="0"/>
      <w:marRight w:val="0"/>
      <w:marTop w:val="0"/>
      <w:marBottom w:val="0"/>
      <w:divBdr>
        <w:top w:val="none" w:sz="0" w:space="0" w:color="auto"/>
        <w:left w:val="none" w:sz="0" w:space="0" w:color="auto"/>
        <w:bottom w:val="none" w:sz="0" w:space="0" w:color="auto"/>
        <w:right w:val="none" w:sz="0" w:space="0" w:color="auto"/>
      </w:divBdr>
    </w:div>
    <w:div w:id="1392729787">
      <w:bodyDiv w:val="1"/>
      <w:marLeft w:val="0"/>
      <w:marRight w:val="0"/>
      <w:marTop w:val="0"/>
      <w:marBottom w:val="0"/>
      <w:divBdr>
        <w:top w:val="none" w:sz="0" w:space="0" w:color="auto"/>
        <w:left w:val="none" w:sz="0" w:space="0" w:color="auto"/>
        <w:bottom w:val="none" w:sz="0" w:space="0" w:color="auto"/>
        <w:right w:val="none" w:sz="0" w:space="0" w:color="auto"/>
      </w:divBdr>
    </w:div>
    <w:div w:id="1404377193">
      <w:bodyDiv w:val="1"/>
      <w:marLeft w:val="0"/>
      <w:marRight w:val="0"/>
      <w:marTop w:val="0"/>
      <w:marBottom w:val="0"/>
      <w:divBdr>
        <w:top w:val="none" w:sz="0" w:space="0" w:color="auto"/>
        <w:left w:val="none" w:sz="0" w:space="0" w:color="auto"/>
        <w:bottom w:val="none" w:sz="0" w:space="0" w:color="auto"/>
        <w:right w:val="none" w:sz="0" w:space="0" w:color="auto"/>
      </w:divBdr>
    </w:div>
    <w:div w:id="1406755144">
      <w:bodyDiv w:val="1"/>
      <w:marLeft w:val="0"/>
      <w:marRight w:val="0"/>
      <w:marTop w:val="0"/>
      <w:marBottom w:val="0"/>
      <w:divBdr>
        <w:top w:val="none" w:sz="0" w:space="0" w:color="auto"/>
        <w:left w:val="none" w:sz="0" w:space="0" w:color="auto"/>
        <w:bottom w:val="none" w:sz="0" w:space="0" w:color="auto"/>
        <w:right w:val="none" w:sz="0" w:space="0" w:color="auto"/>
      </w:divBdr>
    </w:div>
    <w:div w:id="1411779696">
      <w:bodyDiv w:val="1"/>
      <w:marLeft w:val="0"/>
      <w:marRight w:val="0"/>
      <w:marTop w:val="0"/>
      <w:marBottom w:val="0"/>
      <w:divBdr>
        <w:top w:val="none" w:sz="0" w:space="0" w:color="auto"/>
        <w:left w:val="none" w:sz="0" w:space="0" w:color="auto"/>
        <w:bottom w:val="none" w:sz="0" w:space="0" w:color="auto"/>
        <w:right w:val="none" w:sz="0" w:space="0" w:color="auto"/>
      </w:divBdr>
    </w:div>
    <w:div w:id="1417169803">
      <w:bodyDiv w:val="1"/>
      <w:marLeft w:val="0"/>
      <w:marRight w:val="0"/>
      <w:marTop w:val="0"/>
      <w:marBottom w:val="0"/>
      <w:divBdr>
        <w:top w:val="none" w:sz="0" w:space="0" w:color="auto"/>
        <w:left w:val="none" w:sz="0" w:space="0" w:color="auto"/>
        <w:bottom w:val="none" w:sz="0" w:space="0" w:color="auto"/>
        <w:right w:val="none" w:sz="0" w:space="0" w:color="auto"/>
      </w:divBdr>
    </w:div>
    <w:div w:id="1496070498">
      <w:bodyDiv w:val="1"/>
      <w:marLeft w:val="0"/>
      <w:marRight w:val="0"/>
      <w:marTop w:val="0"/>
      <w:marBottom w:val="0"/>
      <w:divBdr>
        <w:top w:val="none" w:sz="0" w:space="0" w:color="auto"/>
        <w:left w:val="none" w:sz="0" w:space="0" w:color="auto"/>
        <w:bottom w:val="none" w:sz="0" w:space="0" w:color="auto"/>
        <w:right w:val="none" w:sz="0" w:space="0" w:color="auto"/>
      </w:divBdr>
    </w:div>
    <w:div w:id="1512644912">
      <w:bodyDiv w:val="1"/>
      <w:marLeft w:val="0"/>
      <w:marRight w:val="0"/>
      <w:marTop w:val="0"/>
      <w:marBottom w:val="0"/>
      <w:divBdr>
        <w:top w:val="none" w:sz="0" w:space="0" w:color="auto"/>
        <w:left w:val="none" w:sz="0" w:space="0" w:color="auto"/>
        <w:bottom w:val="none" w:sz="0" w:space="0" w:color="auto"/>
        <w:right w:val="none" w:sz="0" w:space="0" w:color="auto"/>
      </w:divBdr>
    </w:div>
    <w:div w:id="1514496859">
      <w:bodyDiv w:val="1"/>
      <w:marLeft w:val="0"/>
      <w:marRight w:val="0"/>
      <w:marTop w:val="0"/>
      <w:marBottom w:val="0"/>
      <w:divBdr>
        <w:top w:val="none" w:sz="0" w:space="0" w:color="auto"/>
        <w:left w:val="none" w:sz="0" w:space="0" w:color="auto"/>
        <w:bottom w:val="none" w:sz="0" w:space="0" w:color="auto"/>
        <w:right w:val="none" w:sz="0" w:space="0" w:color="auto"/>
      </w:divBdr>
    </w:div>
    <w:div w:id="1545675321">
      <w:bodyDiv w:val="1"/>
      <w:marLeft w:val="0"/>
      <w:marRight w:val="0"/>
      <w:marTop w:val="0"/>
      <w:marBottom w:val="0"/>
      <w:divBdr>
        <w:top w:val="none" w:sz="0" w:space="0" w:color="auto"/>
        <w:left w:val="none" w:sz="0" w:space="0" w:color="auto"/>
        <w:bottom w:val="none" w:sz="0" w:space="0" w:color="auto"/>
        <w:right w:val="none" w:sz="0" w:space="0" w:color="auto"/>
      </w:divBdr>
    </w:div>
    <w:div w:id="1579555053">
      <w:bodyDiv w:val="1"/>
      <w:marLeft w:val="0"/>
      <w:marRight w:val="0"/>
      <w:marTop w:val="0"/>
      <w:marBottom w:val="0"/>
      <w:divBdr>
        <w:top w:val="none" w:sz="0" w:space="0" w:color="auto"/>
        <w:left w:val="none" w:sz="0" w:space="0" w:color="auto"/>
        <w:bottom w:val="none" w:sz="0" w:space="0" w:color="auto"/>
        <w:right w:val="none" w:sz="0" w:space="0" w:color="auto"/>
      </w:divBdr>
    </w:div>
    <w:div w:id="1596327321">
      <w:bodyDiv w:val="1"/>
      <w:marLeft w:val="0"/>
      <w:marRight w:val="0"/>
      <w:marTop w:val="0"/>
      <w:marBottom w:val="0"/>
      <w:divBdr>
        <w:top w:val="none" w:sz="0" w:space="0" w:color="auto"/>
        <w:left w:val="none" w:sz="0" w:space="0" w:color="auto"/>
        <w:bottom w:val="none" w:sz="0" w:space="0" w:color="auto"/>
        <w:right w:val="none" w:sz="0" w:space="0" w:color="auto"/>
      </w:divBdr>
    </w:div>
    <w:div w:id="1626232396">
      <w:bodyDiv w:val="1"/>
      <w:marLeft w:val="0"/>
      <w:marRight w:val="0"/>
      <w:marTop w:val="0"/>
      <w:marBottom w:val="0"/>
      <w:divBdr>
        <w:top w:val="none" w:sz="0" w:space="0" w:color="auto"/>
        <w:left w:val="none" w:sz="0" w:space="0" w:color="auto"/>
        <w:bottom w:val="none" w:sz="0" w:space="0" w:color="auto"/>
        <w:right w:val="none" w:sz="0" w:space="0" w:color="auto"/>
      </w:divBdr>
    </w:div>
    <w:div w:id="1633948573">
      <w:bodyDiv w:val="1"/>
      <w:marLeft w:val="0"/>
      <w:marRight w:val="0"/>
      <w:marTop w:val="0"/>
      <w:marBottom w:val="0"/>
      <w:divBdr>
        <w:top w:val="none" w:sz="0" w:space="0" w:color="auto"/>
        <w:left w:val="none" w:sz="0" w:space="0" w:color="auto"/>
        <w:bottom w:val="none" w:sz="0" w:space="0" w:color="auto"/>
        <w:right w:val="none" w:sz="0" w:space="0" w:color="auto"/>
      </w:divBdr>
    </w:div>
    <w:div w:id="1649741835">
      <w:bodyDiv w:val="1"/>
      <w:marLeft w:val="0"/>
      <w:marRight w:val="0"/>
      <w:marTop w:val="0"/>
      <w:marBottom w:val="0"/>
      <w:divBdr>
        <w:top w:val="none" w:sz="0" w:space="0" w:color="auto"/>
        <w:left w:val="none" w:sz="0" w:space="0" w:color="auto"/>
        <w:bottom w:val="none" w:sz="0" w:space="0" w:color="auto"/>
        <w:right w:val="none" w:sz="0" w:space="0" w:color="auto"/>
      </w:divBdr>
    </w:div>
    <w:div w:id="1686860664">
      <w:bodyDiv w:val="1"/>
      <w:marLeft w:val="0"/>
      <w:marRight w:val="0"/>
      <w:marTop w:val="0"/>
      <w:marBottom w:val="0"/>
      <w:divBdr>
        <w:top w:val="none" w:sz="0" w:space="0" w:color="auto"/>
        <w:left w:val="none" w:sz="0" w:space="0" w:color="auto"/>
        <w:bottom w:val="none" w:sz="0" w:space="0" w:color="auto"/>
        <w:right w:val="none" w:sz="0" w:space="0" w:color="auto"/>
      </w:divBdr>
    </w:div>
    <w:div w:id="1689747356">
      <w:bodyDiv w:val="1"/>
      <w:marLeft w:val="0"/>
      <w:marRight w:val="0"/>
      <w:marTop w:val="0"/>
      <w:marBottom w:val="0"/>
      <w:divBdr>
        <w:top w:val="none" w:sz="0" w:space="0" w:color="auto"/>
        <w:left w:val="none" w:sz="0" w:space="0" w:color="auto"/>
        <w:bottom w:val="none" w:sz="0" w:space="0" w:color="auto"/>
        <w:right w:val="none" w:sz="0" w:space="0" w:color="auto"/>
      </w:divBdr>
    </w:div>
    <w:div w:id="1703090048">
      <w:bodyDiv w:val="1"/>
      <w:marLeft w:val="0"/>
      <w:marRight w:val="0"/>
      <w:marTop w:val="0"/>
      <w:marBottom w:val="0"/>
      <w:divBdr>
        <w:top w:val="none" w:sz="0" w:space="0" w:color="auto"/>
        <w:left w:val="none" w:sz="0" w:space="0" w:color="auto"/>
        <w:bottom w:val="none" w:sz="0" w:space="0" w:color="auto"/>
        <w:right w:val="none" w:sz="0" w:space="0" w:color="auto"/>
      </w:divBdr>
    </w:div>
    <w:div w:id="1716268817">
      <w:bodyDiv w:val="1"/>
      <w:marLeft w:val="0"/>
      <w:marRight w:val="0"/>
      <w:marTop w:val="0"/>
      <w:marBottom w:val="0"/>
      <w:divBdr>
        <w:top w:val="none" w:sz="0" w:space="0" w:color="auto"/>
        <w:left w:val="none" w:sz="0" w:space="0" w:color="auto"/>
        <w:bottom w:val="none" w:sz="0" w:space="0" w:color="auto"/>
        <w:right w:val="none" w:sz="0" w:space="0" w:color="auto"/>
      </w:divBdr>
    </w:div>
    <w:div w:id="1739471968">
      <w:bodyDiv w:val="1"/>
      <w:marLeft w:val="0"/>
      <w:marRight w:val="0"/>
      <w:marTop w:val="0"/>
      <w:marBottom w:val="0"/>
      <w:divBdr>
        <w:top w:val="none" w:sz="0" w:space="0" w:color="auto"/>
        <w:left w:val="none" w:sz="0" w:space="0" w:color="auto"/>
        <w:bottom w:val="none" w:sz="0" w:space="0" w:color="auto"/>
        <w:right w:val="none" w:sz="0" w:space="0" w:color="auto"/>
      </w:divBdr>
    </w:div>
    <w:div w:id="1740009296">
      <w:bodyDiv w:val="1"/>
      <w:marLeft w:val="0"/>
      <w:marRight w:val="0"/>
      <w:marTop w:val="0"/>
      <w:marBottom w:val="0"/>
      <w:divBdr>
        <w:top w:val="none" w:sz="0" w:space="0" w:color="auto"/>
        <w:left w:val="none" w:sz="0" w:space="0" w:color="auto"/>
        <w:bottom w:val="none" w:sz="0" w:space="0" w:color="auto"/>
        <w:right w:val="none" w:sz="0" w:space="0" w:color="auto"/>
      </w:divBdr>
    </w:div>
    <w:div w:id="1752774134">
      <w:bodyDiv w:val="1"/>
      <w:marLeft w:val="0"/>
      <w:marRight w:val="0"/>
      <w:marTop w:val="0"/>
      <w:marBottom w:val="0"/>
      <w:divBdr>
        <w:top w:val="none" w:sz="0" w:space="0" w:color="auto"/>
        <w:left w:val="none" w:sz="0" w:space="0" w:color="auto"/>
        <w:bottom w:val="none" w:sz="0" w:space="0" w:color="auto"/>
        <w:right w:val="none" w:sz="0" w:space="0" w:color="auto"/>
      </w:divBdr>
    </w:div>
    <w:div w:id="1768111708">
      <w:bodyDiv w:val="1"/>
      <w:marLeft w:val="0"/>
      <w:marRight w:val="0"/>
      <w:marTop w:val="0"/>
      <w:marBottom w:val="0"/>
      <w:divBdr>
        <w:top w:val="none" w:sz="0" w:space="0" w:color="auto"/>
        <w:left w:val="none" w:sz="0" w:space="0" w:color="auto"/>
        <w:bottom w:val="none" w:sz="0" w:space="0" w:color="auto"/>
        <w:right w:val="none" w:sz="0" w:space="0" w:color="auto"/>
      </w:divBdr>
    </w:div>
    <w:div w:id="1770273416">
      <w:bodyDiv w:val="1"/>
      <w:marLeft w:val="0"/>
      <w:marRight w:val="0"/>
      <w:marTop w:val="0"/>
      <w:marBottom w:val="0"/>
      <w:divBdr>
        <w:top w:val="none" w:sz="0" w:space="0" w:color="auto"/>
        <w:left w:val="none" w:sz="0" w:space="0" w:color="auto"/>
        <w:bottom w:val="none" w:sz="0" w:space="0" w:color="auto"/>
        <w:right w:val="none" w:sz="0" w:space="0" w:color="auto"/>
      </w:divBdr>
      <w:divsChild>
        <w:div w:id="151727887">
          <w:marLeft w:val="0"/>
          <w:marRight w:val="0"/>
          <w:marTop w:val="0"/>
          <w:marBottom w:val="0"/>
          <w:divBdr>
            <w:top w:val="none" w:sz="0" w:space="0" w:color="auto"/>
            <w:left w:val="none" w:sz="0" w:space="0" w:color="auto"/>
            <w:bottom w:val="none" w:sz="0" w:space="0" w:color="auto"/>
            <w:right w:val="none" w:sz="0" w:space="0" w:color="auto"/>
          </w:divBdr>
        </w:div>
      </w:divsChild>
    </w:div>
    <w:div w:id="1782068982">
      <w:bodyDiv w:val="1"/>
      <w:marLeft w:val="0"/>
      <w:marRight w:val="0"/>
      <w:marTop w:val="0"/>
      <w:marBottom w:val="0"/>
      <w:divBdr>
        <w:top w:val="none" w:sz="0" w:space="0" w:color="auto"/>
        <w:left w:val="none" w:sz="0" w:space="0" w:color="auto"/>
        <w:bottom w:val="none" w:sz="0" w:space="0" w:color="auto"/>
        <w:right w:val="none" w:sz="0" w:space="0" w:color="auto"/>
      </w:divBdr>
    </w:div>
    <w:div w:id="1798142825">
      <w:bodyDiv w:val="1"/>
      <w:marLeft w:val="0"/>
      <w:marRight w:val="0"/>
      <w:marTop w:val="0"/>
      <w:marBottom w:val="0"/>
      <w:divBdr>
        <w:top w:val="none" w:sz="0" w:space="0" w:color="auto"/>
        <w:left w:val="none" w:sz="0" w:space="0" w:color="auto"/>
        <w:bottom w:val="none" w:sz="0" w:space="0" w:color="auto"/>
        <w:right w:val="none" w:sz="0" w:space="0" w:color="auto"/>
      </w:divBdr>
    </w:div>
    <w:div w:id="1814369191">
      <w:bodyDiv w:val="1"/>
      <w:marLeft w:val="0"/>
      <w:marRight w:val="0"/>
      <w:marTop w:val="0"/>
      <w:marBottom w:val="0"/>
      <w:divBdr>
        <w:top w:val="none" w:sz="0" w:space="0" w:color="auto"/>
        <w:left w:val="none" w:sz="0" w:space="0" w:color="auto"/>
        <w:bottom w:val="none" w:sz="0" w:space="0" w:color="auto"/>
        <w:right w:val="none" w:sz="0" w:space="0" w:color="auto"/>
      </w:divBdr>
    </w:div>
    <w:div w:id="1822885134">
      <w:bodyDiv w:val="1"/>
      <w:marLeft w:val="0"/>
      <w:marRight w:val="0"/>
      <w:marTop w:val="0"/>
      <w:marBottom w:val="0"/>
      <w:divBdr>
        <w:top w:val="none" w:sz="0" w:space="0" w:color="auto"/>
        <w:left w:val="none" w:sz="0" w:space="0" w:color="auto"/>
        <w:bottom w:val="none" w:sz="0" w:space="0" w:color="auto"/>
        <w:right w:val="none" w:sz="0" w:space="0" w:color="auto"/>
      </w:divBdr>
    </w:div>
    <w:div w:id="1829325783">
      <w:bodyDiv w:val="1"/>
      <w:marLeft w:val="0"/>
      <w:marRight w:val="0"/>
      <w:marTop w:val="0"/>
      <w:marBottom w:val="0"/>
      <w:divBdr>
        <w:top w:val="none" w:sz="0" w:space="0" w:color="auto"/>
        <w:left w:val="none" w:sz="0" w:space="0" w:color="auto"/>
        <w:bottom w:val="none" w:sz="0" w:space="0" w:color="auto"/>
        <w:right w:val="none" w:sz="0" w:space="0" w:color="auto"/>
      </w:divBdr>
    </w:div>
    <w:div w:id="1831172185">
      <w:bodyDiv w:val="1"/>
      <w:marLeft w:val="0"/>
      <w:marRight w:val="0"/>
      <w:marTop w:val="0"/>
      <w:marBottom w:val="0"/>
      <w:divBdr>
        <w:top w:val="none" w:sz="0" w:space="0" w:color="auto"/>
        <w:left w:val="none" w:sz="0" w:space="0" w:color="auto"/>
        <w:bottom w:val="none" w:sz="0" w:space="0" w:color="auto"/>
        <w:right w:val="none" w:sz="0" w:space="0" w:color="auto"/>
      </w:divBdr>
    </w:div>
    <w:div w:id="1831871727">
      <w:bodyDiv w:val="1"/>
      <w:marLeft w:val="0"/>
      <w:marRight w:val="0"/>
      <w:marTop w:val="0"/>
      <w:marBottom w:val="0"/>
      <w:divBdr>
        <w:top w:val="none" w:sz="0" w:space="0" w:color="auto"/>
        <w:left w:val="none" w:sz="0" w:space="0" w:color="auto"/>
        <w:bottom w:val="none" w:sz="0" w:space="0" w:color="auto"/>
        <w:right w:val="none" w:sz="0" w:space="0" w:color="auto"/>
      </w:divBdr>
    </w:div>
    <w:div w:id="1833983006">
      <w:bodyDiv w:val="1"/>
      <w:marLeft w:val="0"/>
      <w:marRight w:val="0"/>
      <w:marTop w:val="0"/>
      <w:marBottom w:val="0"/>
      <w:divBdr>
        <w:top w:val="none" w:sz="0" w:space="0" w:color="auto"/>
        <w:left w:val="none" w:sz="0" w:space="0" w:color="auto"/>
        <w:bottom w:val="none" w:sz="0" w:space="0" w:color="auto"/>
        <w:right w:val="none" w:sz="0" w:space="0" w:color="auto"/>
      </w:divBdr>
    </w:div>
    <w:div w:id="1839416195">
      <w:bodyDiv w:val="1"/>
      <w:marLeft w:val="0"/>
      <w:marRight w:val="0"/>
      <w:marTop w:val="0"/>
      <w:marBottom w:val="0"/>
      <w:divBdr>
        <w:top w:val="none" w:sz="0" w:space="0" w:color="auto"/>
        <w:left w:val="none" w:sz="0" w:space="0" w:color="auto"/>
        <w:bottom w:val="none" w:sz="0" w:space="0" w:color="auto"/>
        <w:right w:val="none" w:sz="0" w:space="0" w:color="auto"/>
      </w:divBdr>
    </w:div>
    <w:div w:id="1877035709">
      <w:bodyDiv w:val="1"/>
      <w:marLeft w:val="0"/>
      <w:marRight w:val="0"/>
      <w:marTop w:val="0"/>
      <w:marBottom w:val="0"/>
      <w:divBdr>
        <w:top w:val="none" w:sz="0" w:space="0" w:color="auto"/>
        <w:left w:val="none" w:sz="0" w:space="0" w:color="auto"/>
        <w:bottom w:val="none" w:sz="0" w:space="0" w:color="auto"/>
        <w:right w:val="none" w:sz="0" w:space="0" w:color="auto"/>
      </w:divBdr>
    </w:div>
    <w:div w:id="1886521390">
      <w:bodyDiv w:val="1"/>
      <w:marLeft w:val="0"/>
      <w:marRight w:val="0"/>
      <w:marTop w:val="0"/>
      <w:marBottom w:val="0"/>
      <w:divBdr>
        <w:top w:val="none" w:sz="0" w:space="0" w:color="auto"/>
        <w:left w:val="none" w:sz="0" w:space="0" w:color="auto"/>
        <w:bottom w:val="none" w:sz="0" w:space="0" w:color="auto"/>
        <w:right w:val="none" w:sz="0" w:space="0" w:color="auto"/>
      </w:divBdr>
    </w:div>
    <w:div w:id="1908760973">
      <w:bodyDiv w:val="1"/>
      <w:marLeft w:val="0"/>
      <w:marRight w:val="0"/>
      <w:marTop w:val="0"/>
      <w:marBottom w:val="0"/>
      <w:divBdr>
        <w:top w:val="none" w:sz="0" w:space="0" w:color="auto"/>
        <w:left w:val="none" w:sz="0" w:space="0" w:color="auto"/>
        <w:bottom w:val="none" w:sz="0" w:space="0" w:color="auto"/>
        <w:right w:val="none" w:sz="0" w:space="0" w:color="auto"/>
      </w:divBdr>
    </w:div>
    <w:div w:id="1939408633">
      <w:bodyDiv w:val="1"/>
      <w:marLeft w:val="0"/>
      <w:marRight w:val="0"/>
      <w:marTop w:val="0"/>
      <w:marBottom w:val="0"/>
      <w:divBdr>
        <w:top w:val="none" w:sz="0" w:space="0" w:color="auto"/>
        <w:left w:val="none" w:sz="0" w:space="0" w:color="auto"/>
        <w:bottom w:val="none" w:sz="0" w:space="0" w:color="auto"/>
        <w:right w:val="none" w:sz="0" w:space="0" w:color="auto"/>
      </w:divBdr>
    </w:div>
    <w:div w:id="1971665061">
      <w:bodyDiv w:val="1"/>
      <w:marLeft w:val="0"/>
      <w:marRight w:val="0"/>
      <w:marTop w:val="0"/>
      <w:marBottom w:val="0"/>
      <w:divBdr>
        <w:top w:val="none" w:sz="0" w:space="0" w:color="auto"/>
        <w:left w:val="none" w:sz="0" w:space="0" w:color="auto"/>
        <w:bottom w:val="none" w:sz="0" w:space="0" w:color="auto"/>
        <w:right w:val="none" w:sz="0" w:space="0" w:color="auto"/>
      </w:divBdr>
    </w:div>
    <w:div w:id="1984460680">
      <w:bodyDiv w:val="1"/>
      <w:marLeft w:val="0"/>
      <w:marRight w:val="0"/>
      <w:marTop w:val="0"/>
      <w:marBottom w:val="0"/>
      <w:divBdr>
        <w:top w:val="none" w:sz="0" w:space="0" w:color="auto"/>
        <w:left w:val="none" w:sz="0" w:space="0" w:color="auto"/>
        <w:bottom w:val="none" w:sz="0" w:space="0" w:color="auto"/>
        <w:right w:val="none" w:sz="0" w:space="0" w:color="auto"/>
      </w:divBdr>
    </w:div>
    <w:div w:id="1992253385">
      <w:bodyDiv w:val="1"/>
      <w:marLeft w:val="0"/>
      <w:marRight w:val="0"/>
      <w:marTop w:val="0"/>
      <w:marBottom w:val="0"/>
      <w:divBdr>
        <w:top w:val="none" w:sz="0" w:space="0" w:color="auto"/>
        <w:left w:val="none" w:sz="0" w:space="0" w:color="auto"/>
        <w:bottom w:val="none" w:sz="0" w:space="0" w:color="auto"/>
        <w:right w:val="none" w:sz="0" w:space="0" w:color="auto"/>
      </w:divBdr>
    </w:div>
    <w:div w:id="2015380595">
      <w:bodyDiv w:val="1"/>
      <w:marLeft w:val="0"/>
      <w:marRight w:val="0"/>
      <w:marTop w:val="0"/>
      <w:marBottom w:val="0"/>
      <w:divBdr>
        <w:top w:val="none" w:sz="0" w:space="0" w:color="auto"/>
        <w:left w:val="none" w:sz="0" w:space="0" w:color="auto"/>
        <w:bottom w:val="none" w:sz="0" w:space="0" w:color="auto"/>
        <w:right w:val="none" w:sz="0" w:space="0" w:color="auto"/>
      </w:divBdr>
    </w:div>
    <w:div w:id="2017001780">
      <w:bodyDiv w:val="1"/>
      <w:marLeft w:val="0"/>
      <w:marRight w:val="0"/>
      <w:marTop w:val="0"/>
      <w:marBottom w:val="0"/>
      <w:divBdr>
        <w:top w:val="none" w:sz="0" w:space="0" w:color="auto"/>
        <w:left w:val="none" w:sz="0" w:space="0" w:color="auto"/>
        <w:bottom w:val="none" w:sz="0" w:space="0" w:color="auto"/>
        <w:right w:val="none" w:sz="0" w:space="0" w:color="auto"/>
      </w:divBdr>
    </w:div>
    <w:div w:id="2018075210">
      <w:bodyDiv w:val="1"/>
      <w:marLeft w:val="0"/>
      <w:marRight w:val="0"/>
      <w:marTop w:val="0"/>
      <w:marBottom w:val="0"/>
      <w:divBdr>
        <w:top w:val="none" w:sz="0" w:space="0" w:color="auto"/>
        <w:left w:val="none" w:sz="0" w:space="0" w:color="auto"/>
        <w:bottom w:val="none" w:sz="0" w:space="0" w:color="auto"/>
        <w:right w:val="none" w:sz="0" w:space="0" w:color="auto"/>
      </w:divBdr>
    </w:div>
    <w:div w:id="2019426326">
      <w:bodyDiv w:val="1"/>
      <w:marLeft w:val="0"/>
      <w:marRight w:val="0"/>
      <w:marTop w:val="0"/>
      <w:marBottom w:val="0"/>
      <w:divBdr>
        <w:top w:val="none" w:sz="0" w:space="0" w:color="auto"/>
        <w:left w:val="none" w:sz="0" w:space="0" w:color="auto"/>
        <w:bottom w:val="none" w:sz="0" w:space="0" w:color="auto"/>
        <w:right w:val="none" w:sz="0" w:space="0" w:color="auto"/>
      </w:divBdr>
    </w:div>
    <w:div w:id="2026832167">
      <w:bodyDiv w:val="1"/>
      <w:marLeft w:val="0"/>
      <w:marRight w:val="0"/>
      <w:marTop w:val="0"/>
      <w:marBottom w:val="0"/>
      <w:divBdr>
        <w:top w:val="none" w:sz="0" w:space="0" w:color="auto"/>
        <w:left w:val="none" w:sz="0" w:space="0" w:color="auto"/>
        <w:bottom w:val="none" w:sz="0" w:space="0" w:color="auto"/>
        <w:right w:val="none" w:sz="0" w:space="0" w:color="auto"/>
      </w:divBdr>
    </w:div>
    <w:div w:id="2030793372">
      <w:bodyDiv w:val="1"/>
      <w:marLeft w:val="0"/>
      <w:marRight w:val="0"/>
      <w:marTop w:val="0"/>
      <w:marBottom w:val="0"/>
      <w:divBdr>
        <w:top w:val="none" w:sz="0" w:space="0" w:color="auto"/>
        <w:left w:val="none" w:sz="0" w:space="0" w:color="auto"/>
        <w:bottom w:val="none" w:sz="0" w:space="0" w:color="auto"/>
        <w:right w:val="none" w:sz="0" w:space="0" w:color="auto"/>
      </w:divBdr>
    </w:div>
    <w:div w:id="2041122722">
      <w:bodyDiv w:val="1"/>
      <w:marLeft w:val="0"/>
      <w:marRight w:val="0"/>
      <w:marTop w:val="0"/>
      <w:marBottom w:val="0"/>
      <w:divBdr>
        <w:top w:val="none" w:sz="0" w:space="0" w:color="auto"/>
        <w:left w:val="none" w:sz="0" w:space="0" w:color="auto"/>
        <w:bottom w:val="none" w:sz="0" w:space="0" w:color="auto"/>
        <w:right w:val="none" w:sz="0" w:space="0" w:color="auto"/>
      </w:divBdr>
    </w:div>
    <w:div w:id="2045976568">
      <w:bodyDiv w:val="1"/>
      <w:marLeft w:val="0"/>
      <w:marRight w:val="0"/>
      <w:marTop w:val="0"/>
      <w:marBottom w:val="0"/>
      <w:divBdr>
        <w:top w:val="none" w:sz="0" w:space="0" w:color="auto"/>
        <w:left w:val="none" w:sz="0" w:space="0" w:color="auto"/>
        <w:bottom w:val="none" w:sz="0" w:space="0" w:color="auto"/>
        <w:right w:val="none" w:sz="0" w:space="0" w:color="auto"/>
      </w:divBdr>
    </w:div>
    <w:div w:id="2063626887">
      <w:bodyDiv w:val="1"/>
      <w:marLeft w:val="0"/>
      <w:marRight w:val="0"/>
      <w:marTop w:val="0"/>
      <w:marBottom w:val="0"/>
      <w:divBdr>
        <w:top w:val="none" w:sz="0" w:space="0" w:color="auto"/>
        <w:left w:val="none" w:sz="0" w:space="0" w:color="auto"/>
        <w:bottom w:val="none" w:sz="0" w:space="0" w:color="auto"/>
        <w:right w:val="none" w:sz="0" w:space="0" w:color="auto"/>
      </w:divBdr>
    </w:div>
    <w:div w:id="2077437664">
      <w:bodyDiv w:val="1"/>
      <w:marLeft w:val="0"/>
      <w:marRight w:val="0"/>
      <w:marTop w:val="0"/>
      <w:marBottom w:val="0"/>
      <w:divBdr>
        <w:top w:val="none" w:sz="0" w:space="0" w:color="auto"/>
        <w:left w:val="none" w:sz="0" w:space="0" w:color="auto"/>
        <w:bottom w:val="none" w:sz="0" w:space="0" w:color="auto"/>
        <w:right w:val="none" w:sz="0" w:space="0" w:color="auto"/>
      </w:divBdr>
    </w:div>
    <w:div w:id="2087649661">
      <w:bodyDiv w:val="1"/>
      <w:marLeft w:val="0"/>
      <w:marRight w:val="0"/>
      <w:marTop w:val="0"/>
      <w:marBottom w:val="0"/>
      <w:divBdr>
        <w:top w:val="none" w:sz="0" w:space="0" w:color="auto"/>
        <w:left w:val="none" w:sz="0" w:space="0" w:color="auto"/>
        <w:bottom w:val="none" w:sz="0" w:space="0" w:color="auto"/>
        <w:right w:val="none" w:sz="0" w:space="0" w:color="auto"/>
      </w:divBdr>
    </w:div>
    <w:div w:id="2099936185">
      <w:bodyDiv w:val="1"/>
      <w:marLeft w:val="0"/>
      <w:marRight w:val="0"/>
      <w:marTop w:val="0"/>
      <w:marBottom w:val="0"/>
      <w:divBdr>
        <w:top w:val="none" w:sz="0" w:space="0" w:color="auto"/>
        <w:left w:val="none" w:sz="0" w:space="0" w:color="auto"/>
        <w:bottom w:val="none" w:sz="0" w:space="0" w:color="auto"/>
        <w:right w:val="none" w:sz="0" w:space="0" w:color="auto"/>
      </w:divBdr>
    </w:div>
    <w:div w:id="2102675431">
      <w:bodyDiv w:val="1"/>
      <w:marLeft w:val="0"/>
      <w:marRight w:val="0"/>
      <w:marTop w:val="0"/>
      <w:marBottom w:val="0"/>
      <w:divBdr>
        <w:top w:val="none" w:sz="0" w:space="0" w:color="auto"/>
        <w:left w:val="none" w:sz="0" w:space="0" w:color="auto"/>
        <w:bottom w:val="none" w:sz="0" w:space="0" w:color="auto"/>
        <w:right w:val="none" w:sz="0" w:space="0" w:color="auto"/>
      </w:divBdr>
      <w:divsChild>
        <w:div w:id="383065496">
          <w:marLeft w:val="0"/>
          <w:marRight w:val="0"/>
          <w:marTop w:val="0"/>
          <w:marBottom w:val="0"/>
          <w:divBdr>
            <w:top w:val="none" w:sz="0" w:space="0" w:color="auto"/>
            <w:left w:val="none" w:sz="0" w:space="0" w:color="auto"/>
            <w:bottom w:val="none" w:sz="0" w:space="0" w:color="auto"/>
            <w:right w:val="none" w:sz="0" w:space="0" w:color="auto"/>
          </w:divBdr>
        </w:div>
        <w:div w:id="1634603056">
          <w:marLeft w:val="0"/>
          <w:marRight w:val="0"/>
          <w:marTop w:val="0"/>
          <w:marBottom w:val="0"/>
          <w:divBdr>
            <w:top w:val="none" w:sz="0" w:space="0" w:color="auto"/>
            <w:left w:val="none" w:sz="0" w:space="0" w:color="auto"/>
            <w:bottom w:val="none" w:sz="0" w:space="0" w:color="auto"/>
            <w:right w:val="none" w:sz="0" w:space="0" w:color="auto"/>
          </w:divBdr>
        </w:div>
      </w:divsChild>
    </w:div>
    <w:div w:id="2103909062">
      <w:bodyDiv w:val="1"/>
      <w:marLeft w:val="0"/>
      <w:marRight w:val="0"/>
      <w:marTop w:val="0"/>
      <w:marBottom w:val="0"/>
      <w:divBdr>
        <w:top w:val="none" w:sz="0" w:space="0" w:color="auto"/>
        <w:left w:val="none" w:sz="0" w:space="0" w:color="auto"/>
        <w:bottom w:val="none" w:sz="0" w:space="0" w:color="auto"/>
        <w:right w:val="none" w:sz="0" w:space="0" w:color="auto"/>
      </w:divBdr>
    </w:div>
    <w:div w:id="2108915050">
      <w:bodyDiv w:val="1"/>
      <w:marLeft w:val="0"/>
      <w:marRight w:val="0"/>
      <w:marTop w:val="0"/>
      <w:marBottom w:val="0"/>
      <w:divBdr>
        <w:top w:val="none" w:sz="0" w:space="0" w:color="auto"/>
        <w:left w:val="none" w:sz="0" w:space="0" w:color="auto"/>
        <w:bottom w:val="none" w:sz="0" w:space="0" w:color="auto"/>
        <w:right w:val="none" w:sz="0" w:space="0" w:color="auto"/>
      </w:divBdr>
      <w:divsChild>
        <w:div w:id="1443955619">
          <w:marLeft w:val="0"/>
          <w:marRight w:val="0"/>
          <w:marTop w:val="0"/>
          <w:marBottom w:val="0"/>
          <w:divBdr>
            <w:top w:val="none" w:sz="0" w:space="0" w:color="auto"/>
            <w:left w:val="none" w:sz="0" w:space="0" w:color="auto"/>
            <w:bottom w:val="none" w:sz="0" w:space="0" w:color="auto"/>
            <w:right w:val="none" w:sz="0" w:space="0" w:color="auto"/>
          </w:divBdr>
        </w:div>
        <w:div w:id="1484618819">
          <w:marLeft w:val="0"/>
          <w:marRight w:val="0"/>
          <w:marTop w:val="0"/>
          <w:marBottom w:val="0"/>
          <w:divBdr>
            <w:top w:val="none" w:sz="0" w:space="0" w:color="auto"/>
            <w:left w:val="none" w:sz="0" w:space="0" w:color="auto"/>
            <w:bottom w:val="none" w:sz="0" w:space="0" w:color="auto"/>
            <w:right w:val="none" w:sz="0" w:space="0" w:color="auto"/>
          </w:divBdr>
        </w:div>
      </w:divsChild>
    </w:div>
    <w:div w:id="2117214832">
      <w:bodyDiv w:val="1"/>
      <w:marLeft w:val="0"/>
      <w:marRight w:val="0"/>
      <w:marTop w:val="0"/>
      <w:marBottom w:val="0"/>
      <w:divBdr>
        <w:top w:val="none" w:sz="0" w:space="0" w:color="auto"/>
        <w:left w:val="none" w:sz="0" w:space="0" w:color="auto"/>
        <w:bottom w:val="none" w:sz="0" w:space="0" w:color="auto"/>
        <w:right w:val="none" w:sz="0" w:space="0" w:color="auto"/>
      </w:divBdr>
    </w:div>
    <w:div w:id="2118597185">
      <w:bodyDiv w:val="1"/>
      <w:marLeft w:val="0"/>
      <w:marRight w:val="0"/>
      <w:marTop w:val="0"/>
      <w:marBottom w:val="0"/>
      <w:divBdr>
        <w:top w:val="none" w:sz="0" w:space="0" w:color="auto"/>
        <w:left w:val="none" w:sz="0" w:space="0" w:color="auto"/>
        <w:bottom w:val="none" w:sz="0" w:space="0" w:color="auto"/>
        <w:right w:val="none" w:sz="0" w:space="0" w:color="auto"/>
      </w:divBdr>
    </w:div>
    <w:div w:id="2130123292">
      <w:bodyDiv w:val="1"/>
      <w:marLeft w:val="0"/>
      <w:marRight w:val="0"/>
      <w:marTop w:val="0"/>
      <w:marBottom w:val="0"/>
      <w:divBdr>
        <w:top w:val="none" w:sz="0" w:space="0" w:color="auto"/>
        <w:left w:val="none" w:sz="0" w:space="0" w:color="auto"/>
        <w:bottom w:val="none" w:sz="0" w:space="0" w:color="auto"/>
        <w:right w:val="none" w:sz="0" w:space="0" w:color="auto"/>
      </w:divBdr>
    </w:div>
    <w:div w:id="2130929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yperlink" Target="http://repository.upenn.edu/cgi/viewcontent.cgi?article=1261&amp;context=gse_pubs" TargetMode="External"/><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tasb.org/Services/HR-Services/HRX/Recruiting-and-Hiring/4-Key-Factors-Impacting-Teacher-Retention.aspx"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nces.ed.gov/pubs2014/201407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tea.texas.gov/sites/default/files/Employed%20Teacher%20Demographics%202014-15%20through%202018-19.pdf"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s://tea.texas.gov/sites/default/files/2018-19%20Pocket_Edition_Final.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804902-1887-452D-A1A3-6094BD7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10512</Words>
  <Characters>59921</Characters>
  <Application>Microsoft Office Word</Application>
  <DocSecurity>0</DocSecurity>
  <Lines>499</Lines>
  <Paragraphs>140</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Summary of Need for VI Professionals</vt:lpstr>
      <vt:lpstr>/ </vt:lpstr>
      <vt:lpstr>Table of Contents      </vt:lpstr>
      <vt:lpstr>Introduction</vt:lpstr>
      <vt:lpstr>Characteristics of VI Professionals in Texas</vt:lpstr>
      <vt:lpstr>    Number of VI professionals in Texas</vt:lpstr>
      <vt:lpstr>        Table 1: Total VI Professionals Statewide</vt:lpstr>
      <vt:lpstr>        Table 2: Direct-Service Providers: Teachers of Students with Visual Impairments </vt:lpstr>
      <vt:lpstr>        The number of full time TVIs was 523 in 2010 and 511 in 2020. The most significa</vt:lpstr>
      <vt:lpstr>        </vt:lpstr>
      <vt:lpstr>        Table 3: Direct-Service Providers: Orientation and Mobility Specialists (COMS)</vt:lpstr>
      <vt:lpstr>    Part-time service providers</vt:lpstr>
      <vt:lpstr>    Contract service providers</vt:lpstr>
      <vt:lpstr>    Dually certified VI professionals</vt:lpstr>
      <vt:lpstr>        Table 4: Dually Certified Professionals</vt:lpstr>
      <vt:lpstr>    Direct services provided by ESCs</vt:lpstr>
      <vt:lpstr>        Table 5: Students Receiving Services from ESCs</vt:lpstr>
      <vt:lpstr>    Overall perceptions of caseloads</vt:lpstr>
      <vt:lpstr>    Cultural diversity </vt:lpstr>
      <vt:lpstr>    VI professionals who have a visual impairment</vt:lpstr>
      <vt:lpstr>Growth in Population of Students with Visual Impairments and Impact on VI Profes</vt:lpstr>
      <vt:lpstr>    </vt:lpstr>
      <vt:lpstr>    </vt:lpstr>
      <vt:lpstr>    Impact on teachers of students with visual impairments</vt:lpstr>
      <vt:lpstr>    Impact on O&amp;M specialists </vt:lpstr>
      <vt:lpstr>    Variance in growth of students with visual impairments and O&amp;M services</vt:lpstr>
      <vt:lpstr>Attrition</vt:lpstr>
      <vt:lpstr>        Table 8: Actual Attrition within the Past Year (1-Year Attrition)</vt:lpstr>
      <vt:lpstr>    </vt:lpstr>
      <vt:lpstr>    Attrition factors </vt:lpstr>
      <vt:lpstr>    Projected 3-year attrition</vt:lpstr>
      <vt:lpstr>        Table 9: Projected 3-Year Attrition </vt:lpstr>
      <vt:lpstr>    Projected vs. actual attrition</vt:lpstr>
      <vt:lpstr>Anticipated Need</vt:lpstr>
      <vt:lpstr>    Posted positions</vt:lpstr>
      <vt:lpstr>        Table 10: Posted Positions</vt:lpstr>
      <vt:lpstr>    Recommendations by knowledgeable professionals</vt:lpstr>
      <vt:lpstr>        </vt:lpstr>
      <vt:lpstr>        Table 11: Projected Short-Term Need: 12–24 Months</vt:lpstr>
      <vt:lpstr>        Table 12: Projected Longer-Term Need: 24–36 Months</vt:lpstr>
      <vt:lpstr>    Discussion of projected need and teachers of students with visual impairments (T</vt:lpstr>
      <vt:lpstr>        Table 13: Projected Need and TVIs</vt:lpstr>
      <vt:lpstr>    Discussion of projected need and O&amp;M specialists</vt:lpstr>
      <vt:lpstr>        Table 13: Projected Need and COMS</vt:lpstr>
      <vt:lpstr>Enrollment to Prepare VI Professionals</vt:lpstr>
      <vt:lpstr>    Students registered in Texas programs</vt:lpstr>
      <vt:lpstr>        Table 14: Number of Students in Training Programs</vt:lpstr>
      <vt:lpstr>    </vt:lpstr>
      <vt:lpstr>    Students completing Texas certification programs</vt:lpstr>
      <vt:lpstr>    University students receiving financial assistance in Texas certification progra</vt:lpstr>
      <vt:lpstr>        Table 14: Percentage of Students Receiving Support through Texas Grants</vt:lpstr>
      <vt:lpstr>Summary</vt:lpstr>
      <vt:lpstr>Appendix</vt:lpstr>
      <vt:lpstr>    Methodology</vt:lpstr>
      <vt:lpstr>References  </vt:lpstr>
    </vt:vector>
  </TitlesOfParts>
  <Company>TSBVI</Company>
  <LinksUpToDate>false</LinksUpToDate>
  <CharactersWithSpaces>70293</CharactersWithSpaces>
  <SharedDoc>false</SharedDoc>
  <HLinks>
    <vt:vector size="174" baseType="variant">
      <vt:variant>
        <vt:i4>5308425</vt:i4>
      </vt:variant>
      <vt:variant>
        <vt:i4>270</vt:i4>
      </vt:variant>
      <vt:variant>
        <vt:i4>0</vt:i4>
      </vt:variant>
      <vt:variant>
        <vt:i4>5</vt:i4>
      </vt:variant>
      <vt:variant>
        <vt:lpwstr>http://www.gse.upenn.edu/review/feature/ingersoll</vt:lpwstr>
      </vt:variant>
      <vt:variant>
        <vt:lpwstr/>
      </vt:variant>
      <vt:variant>
        <vt:i4>6815806</vt:i4>
      </vt:variant>
      <vt:variant>
        <vt:i4>267</vt:i4>
      </vt:variant>
      <vt:variant>
        <vt:i4>0</vt:i4>
      </vt:variant>
      <vt:variant>
        <vt:i4>5</vt:i4>
      </vt:variant>
      <vt:variant>
        <vt:lpwstr>http://www.aarp.org/work/retirement-planning/info-05-2011/recession-ppi-study.html</vt:lpwstr>
      </vt:variant>
      <vt:variant>
        <vt:lpwstr/>
      </vt:variant>
      <vt:variant>
        <vt:i4>2293815</vt:i4>
      </vt:variant>
      <vt:variant>
        <vt:i4>189</vt:i4>
      </vt:variant>
      <vt:variant>
        <vt:i4>0</vt:i4>
      </vt:variant>
      <vt:variant>
        <vt:i4>5</vt:i4>
      </vt:variant>
      <vt:variant>
        <vt:lpwstr>http://www.eccadvocacy.org/section.aspx?FolderID=13</vt:lpwstr>
      </vt:variant>
      <vt:variant>
        <vt:lpwstr/>
      </vt:variant>
      <vt:variant>
        <vt:i4>1245247</vt:i4>
      </vt:variant>
      <vt:variant>
        <vt:i4>152</vt:i4>
      </vt:variant>
      <vt:variant>
        <vt:i4>0</vt:i4>
      </vt:variant>
      <vt:variant>
        <vt:i4>5</vt:i4>
      </vt:variant>
      <vt:variant>
        <vt:lpwstr/>
      </vt:variant>
      <vt:variant>
        <vt:lpwstr>_Toc374001828</vt:lpwstr>
      </vt:variant>
      <vt:variant>
        <vt:i4>1245247</vt:i4>
      </vt:variant>
      <vt:variant>
        <vt:i4>146</vt:i4>
      </vt:variant>
      <vt:variant>
        <vt:i4>0</vt:i4>
      </vt:variant>
      <vt:variant>
        <vt:i4>5</vt:i4>
      </vt:variant>
      <vt:variant>
        <vt:lpwstr/>
      </vt:variant>
      <vt:variant>
        <vt:lpwstr>_Toc374001827</vt:lpwstr>
      </vt:variant>
      <vt:variant>
        <vt:i4>1245247</vt:i4>
      </vt:variant>
      <vt:variant>
        <vt:i4>140</vt:i4>
      </vt:variant>
      <vt:variant>
        <vt:i4>0</vt:i4>
      </vt:variant>
      <vt:variant>
        <vt:i4>5</vt:i4>
      </vt:variant>
      <vt:variant>
        <vt:lpwstr/>
      </vt:variant>
      <vt:variant>
        <vt:lpwstr>_Toc374001826</vt:lpwstr>
      </vt:variant>
      <vt:variant>
        <vt:i4>1245247</vt:i4>
      </vt:variant>
      <vt:variant>
        <vt:i4>134</vt:i4>
      </vt:variant>
      <vt:variant>
        <vt:i4>0</vt:i4>
      </vt:variant>
      <vt:variant>
        <vt:i4>5</vt:i4>
      </vt:variant>
      <vt:variant>
        <vt:lpwstr/>
      </vt:variant>
      <vt:variant>
        <vt:lpwstr>_Toc374001825</vt:lpwstr>
      </vt:variant>
      <vt:variant>
        <vt:i4>1245247</vt:i4>
      </vt:variant>
      <vt:variant>
        <vt:i4>128</vt:i4>
      </vt:variant>
      <vt:variant>
        <vt:i4>0</vt:i4>
      </vt:variant>
      <vt:variant>
        <vt:i4>5</vt:i4>
      </vt:variant>
      <vt:variant>
        <vt:lpwstr/>
      </vt:variant>
      <vt:variant>
        <vt:lpwstr>_Toc374001824</vt:lpwstr>
      </vt:variant>
      <vt:variant>
        <vt:i4>1245247</vt:i4>
      </vt:variant>
      <vt:variant>
        <vt:i4>122</vt:i4>
      </vt:variant>
      <vt:variant>
        <vt:i4>0</vt:i4>
      </vt:variant>
      <vt:variant>
        <vt:i4>5</vt:i4>
      </vt:variant>
      <vt:variant>
        <vt:lpwstr/>
      </vt:variant>
      <vt:variant>
        <vt:lpwstr>_Toc374001823</vt:lpwstr>
      </vt:variant>
      <vt:variant>
        <vt:i4>1245247</vt:i4>
      </vt:variant>
      <vt:variant>
        <vt:i4>116</vt:i4>
      </vt:variant>
      <vt:variant>
        <vt:i4>0</vt:i4>
      </vt:variant>
      <vt:variant>
        <vt:i4>5</vt:i4>
      </vt:variant>
      <vt:variant>
        <vt:lpwstr/>
      </vt:variant>
      <vt:variant>
        <vt:lpwstr>_Toc374001822</vt:lpwstr>
      </vt:variant>
      <vt:variant>
        <vt:i4>1245247</vt:i4>
      </vt:variant>
      <vt:variant>
        <vt:i4>110</vt:i4>
      </vt:variant>
      <vt:variant>
        <vt:i4>0</vt:i4>
      </vt:variant>
      <vt:variant>
        <vt:i4>5</vt:i4>
      </vt:variant>
      <vt:variant>
        <vt:lpwstr/>
      </vt:variant>
      <vt:variant>
        <vt:lpwstr>_Toc374001821</vt:lpwstr>
      </vt:variant>
      <vt:variant>
        <vt:i4>1245247</vt:i4>
      </vt:variant>
      <vt:variant>
        <vt:i4>104</vt:i4>
      </vt:variant>
      <vt:variant>
        <vt:i4>0</vt:i4>
      </vt:variant>
      <vt:variant>
        <vt:i4>5</vt:i4>
      </vt:variant>
      <vt:variant>
        <vt:lpwstr/>
      </vt:variant>
      <vt:variant>
        <vt:lpwstr>_Toc374001820</vt:lpwstr>
      </vt:variant>
      <vt:variant>
        <vt:i4>1048639</vt:i4>
      </vt:variant>
      <vt:variant>
        <vt:i4>98</vt:i4>
      </vt:variant>
      <vt:variant>
        <vt:i4>0</vt:i4>
      </vt:variant>
      <vt:variant>
        <vt:i4>5</vt:i4>
      </vt:variant>
      <vt:variant>
        <vt:lpwstr/>
      </vt:variant>
      <vt:variant>
        <vt:lpwstr>_Toc374001819</vt:lpwstr>
      </vt:variant>
      <vt:variant>
        <vt:i4>1048639</vt:i4>
      </vt:variant>
      <vt:variant>
        <vt:i4>92</vt:i4>
      </vt:variant>
      <vt:variant>
        <vt:i4>0</vt:i4>
      </vt:variant>
      <vt:variant>
        <vt:i4>5</vt:i4>
      </vt:variant>
      <vt:variant>
        <vt:lpwstr/>
      </vt:variant>
      <vt:variant>
        <vt:lpwstr>_Toc374001818</vt:lpwstr>
      </vt:variant>
      <vt:variant>
        <vt:i4>1048639</vt:i4>
      </vt:variant>
      <vt:variant>
        <vt:i4>86</vt:i4>
      </vt:variant>
      <vt:variant>
        <vt:i4>0</vt:i4>
      </vt:variant>
      <vt:variant>
        <vt:i4>5</vt:i4>
      </vt:variant>
      <vt:variant>
        <vt:lpwstr/>
      </vt:variant>
      <vt:variant>
        <vt:lpwstr>_Toc374001817</vt:lpwstr>
      </vt:variant>
      <vt:variant>
        <vt:i4>1048639</vt:i4>
      </vt:variant>
      <vt:variant>
        <vt:i4>80</vt:i4>
      </vt:variant>
      <vt:variant>
        <vt:i4>0</vt:i4>
      </vt:variant>
      <vt:variant>
        <vt:i4>5</vt:i4>
      </vt:variant>
      <vt:variant>
        <vt:lpwstr/>
      </vt:variant>
      <vt:variant>
        <vt:lpwstr>_Toc374001816</vt:lpwstr>
      </vt:variant>
      <vt:variant>
        <vt:i4>1048639</vt:i4>
      </vt:variant>
      <vt:variant>
        <vt:i4>74</vt:i4>
      </vt:variant>
      <vt:variant>
        <vt:i4>0</vt:i4>
      </vt:variant>
      <vt:variant>
        <vt:i4>5</vt:i4>
      </vt:variant>
      <vt:variant>
        <vt:lpwstr/>
      </vt:variant>
      <vt:variant>
        <vt:lpwstr>_Toc374001815</vt:lpwstr>
      </vt:variant>
      <vt:variant>
        <vt:i4>1048639</vt:i4>
      </vt:variant>
      <vt:variant>
        <vt:i4>68</vt:i4>
      </vt:variant>
      <vt:variant>
        <vt:i4>0</vt:i4>
      </vt:variant>
      <vt:variant>
        <vt:i4>5</vt:i4>
      </vt:variant>
      <vt:variant>
        <vt:lpwstr/>
      </vt:variant>
      <vt:variant>
        <vt:lpwstr>_Toc374001814</vt:lpwstr>
      </vt:variant>
      <vt:variant>
        <vt:i4>1048639</vt:i4>
      </vt:variant>
      <vt:variant>
        <vt:i4>62</vt:i4>
      </vt:variant>
      <vt:variant>
        <vt:i4>0</vt:i4>
      </vt:variant>
      <vt:variant>
        <vt:i4>5</vt:i4>
      </vt:variant>
      <vt:variant>
        <vt:lpwstr/>
      </vt:variant>
      <vt:variant>
        <vt:lpwstr>_Toc374001813</vt:lpwstr>
      </vt:variant>
      <vt:variant>
        <vt:i4>1638448</vt:i4>
      </vt:variant>
      <vt:variant>
        <vt:i4>56</vt:i4>
      </vt:variant>
      <vt:variant>
        <vt:i4>0</vt:i4>
      </vt:variant>
      <vt:variant>
        <vt:i4>5</vt:i4>
      </vt:variant>
      <vt:variant>
        <vt:lpwstr/>
      </vt:variant>
      <vt:variant>
        <vt:lpwstr>_Toc374001784</vt:lpwstr>
      </vt:variant>
      <vt:variant>
        <vt:i4>1638448</vt:i4>
      </vt:variant>
      <vt:variant>
        <vt:i4>50</vt:i4>
      </vt:variant>
      <vt:variant>
        <vt:i4>0</vt:i4>
      </vt:variant>
      <vt:variant>
        <vt:i4>5</vt:i4>
      </vt:variant>
      <vt:variant>
        <vt:lpwstr/>
      </vt:variant>
      <vt:variant>
        <vt:lpwstr>_Toc374001783</vt:lpwstr>
      </vt:variant>
      <vt:variant>
        <vt:i4>1638448</vt:i4>
      </vt:variant>
      <vt:variant>
        <vt:i4>44</vt:i4>
      </vt:variant>
      <vt:variant>
        <vt:i4>0</vt:i4>
      </vt:variant>
      <vt:variant>
        <vt:i4>5</vt:i4>
      </vt:variant>
      <vt:variant>
        <vt:lpwstr/>
      </vt:variant>
      <vt:variant>
        <vt:lpwstr>_Toc374001782</vt:lpwstr>
      </vt:variant>
      <vt:variant>
        <vt:i4>1638448</vt:i4>
      </vt:variant>
      <vt:variant>
        <vt:i4>38</vt:i4>
      </vt:variant>
      <vt:variant>
        <vt:i4>0</vt:i4>
      </vt:variant>
      <vt:variant>
        <vt:i4>5</vt:i4>
      </vt:variant>
      <vt:variant>
        <vt:lpwstr/>
      </vt:variant>
      <vt:variant>
        <vt:lpwstr>_Toc374001781</vt:lpwstr>
      </vt:variant>
      <vt:variant>
        <vt:i4>1638448</vt:i4>
      </vt:variant>
      <vt:variant>
        <vt:i4>32</vt:i4>
      </vt:variant>
      <vt:variant>
        <vt:i4>0</vt:i4>
      </vt:variant>
      <vt:variant>
        <vt:i4>5</vt:i4>
      </vt:variant>
      <vt:variant>
        <vt:lpwstr/>
      </vt:variant>
      <vt:variant>
        <vt:lpwstr>_Toc374001780</vt:lpwstr>
      </vt:variant>
      <vt:variant>
        <vt:i4>1441840</vt:i4>
      </vt:variant>
      <vt:variant>
        <vt:i4>26</vt:i4>
      </vt:variant>
      <vt:variant>
        <vt:i4>0</vt:i4>
      </vt:variant>
      <vt:variant>
        <vt:i4>5</vt:i4>
      </vt:variant>
      <vt:variant>
        <vt:lpwstr/>
      </vt:variant>
      <vt:variant>
        <vt:lpwstr>_Toc374001779</vt:lpwstr>
      </vt:variant>
      <vt:variant>
        <vt:i4>1441840</vt:i4>
      </vt:variant>
      <vt:variant>
        <vt:i4>20</vt:i4>
      </vt:variant>
      <vt:variant>
        <vt:i4>0</vt:i4>
      </vt:variant>
      <vt:variant>
        <vt:i4>5</vt:i4>
      </vt:variant>
      <vt:variant>
        <vt:lpwstr/>
      </vt:variant>
      <vt:variant>
        <vt:lpwstr>_Toc374001778</vt:lpwstr>
      </vt:variant>
      <vt:variant>
        <vt:i4>1441840</vt:i4>
      </vt:variant>
      <vt:variant>
        <vt:i4>14</vt:i4>
      </vt:variant>
      <vt:variant>
        <vt:i4>0</vt:i4>
      </vt:variant>
      <vt:variant>
        <vt:i4>5</vt:i4>
      </vt:variant>
      <vt:variant>
        <vt:lpwstr/>
      </vt:variant>
      <vt:variant>
        <vt:lpwstr>_Toc374001777</vt:lpwstr>
      </vt:variant>
      <vt:variant>
        <vt:i4>1441840</vt:i4>
      </vt:variant>
      <vt:variant>
        <vt:i4>8</vt:i4>
      </vt:variant>
      <vt:variant>
        <vt:i4>0</vt:i4>
      </vt:variant>
      <vt:variant>
        <vt:i4>5</vt:i4>
      </vt:variant>
      <vt:variant>
        <vt:lpwstr/>
      </vt:variant>
      <vt:variant>
        <vt:lpwstr>_Toc374001776</vt:lpwstr>
      </vt:variant>
      <vt:variant>
        <vt:i4>1441840</vt:i4>
      </vt:variant>
      <vt:variant>
        <vt:i4>2</vt:i4>
      </vt:variant>
      <vt:variant>
        <vt:i4>0</vt:i4>
      </vt:variant>
      <vt:variant>
        <vt:i4>5</vt:i4>
      </vt:variant>
      <vt:variant>
        <vt:lpwstr/>
      </vt:variant>
      <vt:variant>
        <vt:lpwstr>_Toc374001775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Need for VI Professionals</dc:title>
  <dc:subject/>
  <dc:creator>KC Dignan, Ph.D</dc:creator>
  <cp:keywords/>
  <dc:description/>
  <cp:lastModifiedBy>Mary Shore</cp:lastModifiedBy>
  <cp:revision>2</cp:revision>
  <cp:lastPrinted>2021-01-29T16:24:00Z</cp:lastPrinted>
  <dcterms:created xsi:type="dcterms:W3CDTF">2021-02-02T19:39:00Z</dcterms:created>
  <dcterms:modified xsi:type="dcterms:W3CDTF">2021-02-02T19:39:00Z</dcterms:modified>
</cp:coreProperties>
</file>