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35CE" w14:textId="6A4CA028" w:rsidR="00C00163" w:rsidRPr="00C45496" w:rsidRDefault="00C00163" w:rsidP="0066752B">
      <w:pPr>
        <w:spacing w:after="0"/>
        <w:jc w:val="center"/>
        <w:rPr>
          <w:rFonts w:cstheme="minorHAnsi"/>
          <w:b/>
          <w:bCs/>
          <w:caps/>
          <w:sz w:val="28"/>
          <w:szCs w:val="28"/>
        </w:rPr>
      </w:pPr>
      <w:bookmarkStart w:id="0" w:name="_Hlk47088268"/>
      <w:r w:rsidRPr="00C45496">
        <w:rPr>
          <w:rFonts w:cstheme="minorHAnsi"/>
          <w:b/>
          <w:bCs/>
          <w:caps/>
          <w:sz w:val="28"/>
          <w:szCs w:val="28"/>
        </w:rPr>
        <w:t>Texas School for the Blind and Visually Impaired</w:t>
      </w:r>
    </w:p>
    <w:p w14:paraId="43EF9B3C" w14:textId="77777777" w:rsidR="00C00163" w:rsidRPr="00C45496" w:rsidRDefault="00C00163" w:rsidP="0066752B">
      <w:pPr>
        <w:spacing w:after="0"/>
        <w:jc w:val="center"/>
        <w:rPr>
          <w:rFonts w:cstheme="minorHAnsi"/>
          <w:b/>
          <w:bCs/>
          <w:caps/>
          <w:sz w:val="28"/>
          <w:szCs w:val="28"/>
        </w:rPr>
      </w:pPr>
    </w:p>
    <w:p w14:paraId="0D9CC494" w14:textId="7369FBD9" w:rsidR="009A61C3" w:rsidRPr="00C45496" w:rsidRDefault="009F7D16" w:rsidP="0066752B">
      <w:pPr>
        <w:spacing w:after="0"/>
        <w:jc w:val="center"/>
        <w:rPr>
          <w:rFonts w:cstheme="minorHAnsi"/>
          <w:b/>
          <w:bCs/>
          <w:caps/>
          <w:sz w:val="28"/>
          <w:szCs w:val="28"/>
        </w:rPr>
      </w:pPr>
      <w:r w:rsidRPr="00C45496">
        <w:rPr>
          <w:rFonts w:cstheme="minorHAnsi"/>
          <w:b/>
          <w:bCs/>
          <w:caps/>
          <w:sz w:val="28"/>
          <w:szCs w:val="28"/>
        </w:rPr>
        <w:t>Title IX Formal</w:t>
      </w:r>
      <w:r w:rsidRPr="00C45496">
        <w:rPr>
          <w:rFonts w:cstheme="minorHAnsi"/>
          <w:b/>
          <w:bCs/>
          <w:caps/>
          <w:sz w:val="32"/>
          <w:szCs w:val="32"/>
        </w:rPr>
        <w:t xml:space="preserve"> </w:t>
      </w:r>
      <w:r w:rsidRPr="00C45496">
        <w:rPr>
          <w:rFonts w:cstheme="minorHAnsi"/>
          <w:b/>
          <w:bCs/>
          <w:caps/>
          <w:sz w:val="28"/>
          <w:szCs w:val="28"/>
        </w:rPr>
        <w:t xml:space="preserve">Complaint </w:t>
      </w:r>
      <w:r w:rsidR="00D93449" w:rsidRPr="00C45496">
        <w:rPr>
          <w:rFonts w:cstheme="minorHAnsi"/>
          <w:b/>
          <w:bCs/>
          <w:caps/>
          <w:sz w:val="28"/>
          <w:szCs w:val="28"/>
        </w:rPr>
        <w:t>Procedur</w:t>
      </w:r>
      <w:bookmarkEnd w:id="0"/>
      <w:r w:rsidR="00D93449" w:rsidRPr="00C45496">
        <w:rPr>
          <w:rFonts w:cstheme="minorHAnsi"/>
          <w:b/>
          <w:bCs/>
          <w:caps/>
          <w:sz w:val="28"/>
          <w:szCs w:val="28"/>
        </w:rPr>
        <w:t>es</w:t>
      </w:r>
    </w:p>
    <w:p w14:paraId="7442C052" w14:textId="77777777" w:rsidR="008B65A2" w:rsidRPr="00C45496" w:rsidRDefault="008B65A2" w:rsidP="0066752B">
      <w:pPr>
        <w:spacing w:after="0"/>
        <w:jc w:val="center"/>
        <w:rPr>
          <w:rFonts w:cstheme="minorHAnsi"/>
          <w:b/>
          <w:bCs/>
          <w:caps/>
          <w:sz w:val="28"/>
          <w:szCs w:val="28"/>
        </w:rPr>
      </w:pPr>
    </w:p>
    <w:p w14:paraId="4B99D7AD" w14:textId="77777777" w:rsidR="008B65A2" w:rsidRPr="00C45496" w:rsidRDefault="008B65A2" w:rsidP="008B65A2">
      <w:pPr>
        <w:spacing w:after="0" w:line="240" w:lineRule="auto"/>
        <w:jc w:val="center"/>
        <w:rPr>
          <w:rFonts w:cs="Arial"/>
          <w:b/>
          <w:sz w:val="24"/>
          <w:szCs w:val="24"/>
        </w:rPr>
      </w:pPr>
      <w:r w:rsidRPr="00C45496">
        <w:rPr>
          <w:rFonts w:cs="Arial"/>
          <w:b/>
          <w:noProof/>
          <w:sz w:val="24"/>
          <w:szCs w:val="24"/>
        </w:rPr>
        <w:drawing>
          <wp:inline distT="0" distB="0" distL="0" distR="0" wp14:anchorId="67F3D7F2" wp14:editId="10B03F6D">
            <wp:extent cx="1085850" cy="952500"/>
            <wp:effectExtent l="0" t="0" r="0" b="0"/>
            <wp:docPr id="1" name="Picture 1" title="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inkleK\Desktop\logos\l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p w14:paraId="050616AC" w14:textId="77777777" w:rsidR="00722FC8" w:rsidRPr="00C45496" w:rsidRDefault="00722FC8" w:rsidP="008B65A2">
      <w:pPr>
        <w:rPr>
          <w:rFonts w:cstheme="minorHAnsi"/>
          <w:b/>
          <w:bCs/>
          <w:sz w:val="28"/>
          <w:szCs w:val="28"/>
        </w:rPr>
      </w:pPr>
    </w:p>
    <w:p w14:paraId="66D6291A" w14:textId="2A1A81C2" w:rsidR="00544B4A" w:rsidRPr="00C45496" w:rsidRDefault="00544B4A" w:rsidP="00722FC8">
      <w:pPr>
        <w:pStyle w:val="margin1"/>
        <w:framePr w:w="1890" w:wrap="around" w:x="1710"/>
      </w:pPr>
      <w:bookmarkStart w:id="1" w:name="_Hlk45885780"/>
      <w:r w:rsidRPr="00C45496">
        <w:t>Definitions</w:t>
      </w:r>
    </w:p>
    <w:p w14:paraId="63670342" w14:textId="3B934B1D" w:rsidR="004C272C" w:rsidRPr="00C45496" w:rsidRDefault="00A46790" w:rsidP="00722FC8">
      <w:pPr>
        <w:pStyle w:val="local1"/>
        <w:tabs>
          <w:tab w:val="left" w:pos="2520"/>
        </w:tabs>
        <w:ind w:left="2160"/>
      </w:pPr>
      <w:bookmarkStart w:id="2" w:name="_Hlk45884561"/>
      <w:r w:rsidRPr="00C45496">
        <w:t>A</w:t>
      </w:r>
      <w:r w:rsidR="00201120" w:rsidRPr="00C45496">
        <w:t xml:space="preserve">ll </w:t>
      </w:r>
      <w:r w:rsidR="00FE7550" w:rsidRPr="00C45496">
        <w:t xml:space="preserve">terms </w:t>
      </w:r>
      <w:r w:rsidRPr="00C45496">
        <w:t xml:space="preserve">in this regulation </w:t>
      </w:r>
      <w:r w:rsidR="00FE7550" w:rsidRPr="00C45496">
        <w:t>have the meaning as defined</w:t>
      </w:r>
      <w:r w:rsidR="00201120" w:rsidRPr="00C45496">
        <w:t xml:space="preserve"> </w:t>
      </w:r>
      <w:r w:rsidR="004452C1" w:rsidRPr="00C45496">
        <w:t xml:space="preserve">in </w:t>
      </w:r>
      <w:r w:rsidR="008B65A2" w:rsidRPr="00C45496">
        <w:t>FFH(TSBVI</w:t>
      </w:r>
      <w:r w:rsidR="00201120" w:rsidRPr="00C45496">
        <w:t>)</w:t>
      </w:r>
      <w:r w:rsidR="00A85807" w:rsidRPr="00C45496">
        <w:t xml:space="preserve"> at </w:t>
      </w:r>
      <w:r w:rsidR="00C446AE" w:rsidRPr="00C45496">
        <w:t xml:space="preserve">Response to </w:t>
      </w:r>
      <w:r w:rsidR="00A85807" w:rsidRPr="00C45496">
        <w:t>Sexual Harassment</w:t>
      </w:r>
      <w:r w:rsidR="00201120" w:rsidRPr="00C45496">
        <w:t>. In addition</w:t>
      </w:r>
      <w:r w:rsidR="004C272C" w:rsidRPr="00C45496">
        <w:t>:</w:t>
      </w:r>
    </w:p>
    <w:p w14:paraId="300BF24C" w14:textId="624197A5" w:rsidR="00201120" w:rsidRPr="00C45496" w:rsidRDefault="00201120" w:rsidP="00722FC8">
      <w:pPr>
        <w:pStyle w:val="local1"/>
        <w:ind w:left="2160"/>
      </w:pPr>
      <w:r w:rsidRPr="00C45496">
        <w:t>“Coordinator” means the Title IX Coordinator</w:t>
      </w:r>
      <w:r w:rsidR="00806DCF" w:rsidRPr="00C45496">
        <w:t>.</w:t>
      </w:r>
    </w:p>
    <w:p w14:paraId="52377400" w14:textId="72CFD17B" w:rsidR="00816C0E" w:rsidRPr="00C45496" w:rsidRDefault="005A358F" w:rsidP="00722FC8">
      <w:pPr>
        <w:pStyle w:val="local1"/>
        <w:tabs>
          <w:tab w:val="left" w:pos="2520"/>
        </w:tabs>
        <w:ind w:left="2160"/>
      </w:pPr>
      <w:r w:rsidRPr="00C45496">
        <w:t>“Complainant</w:t>
      </w:r>
      <w:r w:rsidR="003E5235" w:rsidRPr="00C45496">
        <w:t>” means the alleged victim of conduct that could constitute sexual harassment</w:t>
      </w:r>
      <w:r w:rsidR="00806DCF" w:rsidRPr="00C45496">
        <w:t xml:space="preserve"> and </w:t>
      </w:r>
      <w:r w:rsidR="0010761B" w:rsidRPr="00C45496">
        <w:t xml:space="preserve">may </w:t>
      </w:r>
      <w:r w:rsidR="00F73CBC" w:rsidRPr="00C45496">
        <w:t>include</w:t>
      </w:r>
      <w:r w:rsidR="00806DCF" w:rsidRPr="00C45496">
        <w:t xml:space="preserve"> </w:t>
      </w:r>
      <w:r w:rsidR="00397A9C" w:rsidRPr="00C45496">
        <w:t>a</w:t>
      </w:r>
      <w:r w:rsidR="00806DCF" w:rsidRPr="00C45496">
        <w:t xml:space="preserve"> parent acting for </w:t>
      </w:r>
      <w:r w:rsidR="00F73CBC" w:rsidRPr="00C45496">
        <w:t>a</w:t>
      </w:r>
      <w:r w:rsidR="00806DCF" w:rsidRPr="00C45496">
        <w:t xml:space="preserve"> student. </w:t>
      </w:r>
      <w:r w:rsidR="00390457" w:rsidRPr="00C45496">
        <w:t xml:space="preserve">Where the </w:t>
      </w:r>
      <w:r w:rsidR="00806DCF" w:rsidRPr="00C45496">
        <w:t xml:space="preserve">Title IX Coordinator signs a formal complaint, the </w:t>
      </w:r>
      <w:r w:rsidR="00390457" w:rsidRPr="00C45496">
        <w:t>C</w:t>
      </w:r>
      <w:r w:rsidR="00806DCF" w:rsidRPr="00C45496">
        <w:t>oordinator is not a complainant.</w:t>
      </w:r>
    </w:p>
    <w:p w14:paraId="07FA7B86" w14:textId="4FE9A5F8" w:rsidR="00977A50" w:rsidRPr="00C45496" w:rsidRDefault="00977A50" w:rsidP="00977A50">
      <w:pPr>
        <w:pStyle w:val="local1"/>
        <w:tabs>
          <w:tab w:val="left" w:pos="2520"/>
        </w:tabs>
        <w:ind w:left="2160"/>
      </w:pPr>
      <w:r w:rsidRPr="00C45496">
        <w:t>“Days” means school calendar days when the business offices are open, but shall exclude weekends and non-weekend days when TSBVI is closed (e.g., designated holidays, or any weekday during which TSBVI is closed).</w:t>
      </w:r>
    </w:p>
    <w:p w14:paraId="5C6B80CA" w14:textId="77D5319E" w:rsidR="006F06F2" w:rsidRPr="00C45496" w:rsidRDefault="006F06F2" w:rsidP="00722FC8">
      <w:pPr>
        <w:pStyle w:val="local1"/>
        <w:tabs>
          <w:tab w:val="left" w:pos="2520"/>
        </w:tabs>
        <w:ind w:left="2160"/>
      </w:pPr>
      <w:r w:rsidRPr="00C45496">
        <w:t>“</w:t>
      </w:r>
      <w:r w:rsidR="00133659" w:rsidRPr="00C45496">
        <w:t>TSBVI”</w:t>
      </w:r>
      <w:r w:rsidRPr="00C45496">
        <w:t xml:space="preserve"> refers to any employee or </w:t>
      </w:r>
      <w:r w:rsidR="000016A4" w:rsidRPr="00C45496">
        <w:t>person</w:t>
      </w:r>
      <w:r w:rsidRPr="00C45496">
        <w:t xml:space="preserve"> designated to fulfill obligations under law or board policies.</w:t>
      </w:r>
    </w:p>
    <w:p w14:paraId="0A29F6D2" w14:textId="2FD1AA59" w:rsidR="004B4592" w:rsidRPr="00C45496" w:rsidRDefault="004B4592" w:rsidP="00722FC8">
      <w:pPr>
        <w:pStyle w:val="local1"/>
        <w:tabs>
          <w:tab w:val="left" w:pos="2520"/>
        </w:tabs>
        <w:ind w:left="2160"/>
      </w:pPr>
      <w:r w:rsidRPr="00C45496">
        <w:t xml:space="preserve">“Education program or activity” </w:t>
      </w:r>
      <w:r w:rsidR="007B50D5" w:rsidRPr="00C45496">
        <w:t>means</w:t>
      </w:r>
      <w:r w:rsidRPr="00C45496">
        <w:t xml:space="preserve"> locations, events, or circumstances over which </w:t>
      </w:r>
      <w:r w:rsidR="00133659" w:rsidRPr="00C45496">
        <w:t>TSBVI</w:t>
      </w:r>
      <w:r w:rsidRPr="00C45496">
        <w:t xml:space="preserve"> exercise</w:t>
      </w:r>
      <w:r w:rsidR="007B50D5" w:rsidRPr="00C45496">
        <w:t>s</w:t>
      </w:r>
      <w:r w:rsidRPr="00C45496">
        <w:t xml:space="preserve"> substantial control over both the respondent and the context in which the</w:t>
      </w:r>
      <w:r w:rsidR="007B50D5" w:rsidRPr="00C45496">
        <w:t xml:space="preserve"> alleged sexual </w:t>
      </w:r>
      <w:r w:rsidRPr="00C45496">
        <w:t>harassment occurs</w:t>
      </w:r>
      <w:r w:rsidR="007B50D5" w:rsidRPr="00C45496">
        <w:t>.</w:t>
      </w:r>
    </w:p>
    <w:p w14:paraId="6A25239F" w14:textId="6CD4D525" w:rsidR="004C272C" w:rsidRPr="00C45496" w:rsidRDefault="004C272C" w:rsidP="00722FC8">
      <w:pPr>
        <w:pStyle w:val="local1"/>
        <w:tabs>
          <w:tab w:val="left" w:pos="2520"/>
        </w:tabs>
        <w:ind w:left="2160"/>
      </w:pPr>
      <w:r w:rsidRPr="00C45496">
        <w:t>“P</w:t>
      </w:r>
      <w:r w:rsidR="008F2A60" w:rsidRPr="00C45496">
        <w:t xml:space="preserve">arty” or “parties” </w:t>
      </w:r>
      <w:r w:rsidRPr="00C45496">
        <w:t>refers to</w:t>
      </w:r>
      <w:r w:rsidR="008F2A60" w:rsidRPr="00C45496">
        <w:t xml:space="preserve"> the complainant and respondent</w:t>
      </w:r>
      <w:r w:rsidR="00806DCF" w:rsidRPr="00C45496">
        <w:t>.</w:t>
      </w:r>
      <w:r w:rsidR="00390457" w:rsidRPr="00C45496">
        <w:t xml:space="preserve"> Where the Title IX Coordinator signs a formal complaint, the Coordinator is not a party.</w:t>
      </w:r>
    </w:p>
    <w:p w14:paraId="16C39855" w14:textId="0F6FE476" w:rsidR="00D54A17" w:rsidRPr="00C45496" w:rsidRDefault="004C272C" w:rsidP="00722FC8">
      <w:pPr>
        <w:pStyle w:val="local1"/>
        <w:tabs>
          <w:tab w:val="left" w:pos="2520"/>
        </w:tabs>
        <w:ind w:left="2160"/>
        <w:sectPr w:rsidR="00D54A17" w:rsidRPr="00C45496" w:rsidSect="00680AFB">
          <w:headerReference w:type="default" r:id="rId13"/>
          <w:endnotePr>
            <w:numFmt w:val="decimal"/>
          </w:endnotePr>
          <w:pgSz w:w="12240" w:h="15840" w:code="1"/>
          <w:pgMar w:top="2160" w:right="1440" w:bottom="1440" w:left="1710" w:header="360" w:footer="288" w:gutter="0"/>
          <w:cols w:space="720"/>
          <w:docGrid w:linePitch="360"/>
        </w:sectPr>
      </w:pPr>
      <w:r w:rsidRPr="00C45496">
        <w:t>“</w:t>
      </w:r>
      <w:r w:rsidR="00A46790" w:rsidRPr="00C45496">
        <w:t>P</w:t>
      </w:r>
      <w:r w:rsidRPr="00C45496">
        <w:t xml:space="preserve">arent” </w:t>
      </w:r>
      <w:r w:rsidR="00A46790" w:rsidRPr="00C45496">
        <w:t>means</w:t>
      </w:r>
      <w:r w:rsidR="00746FFD" w:rsidRPr="00C45496">
        <w:t xml:space="preserve"> a person defined by 34 C.F.R. </w:t>
      </w:r>
      <w:r w:rsidR="00BD5C42" w:rsidRPr="00C45496">
        <w:rPr>
          <w:rFonts w:cs="Arial"/>
        </w:rPr>
        <w:t>§</w:t>
      </w:r>
      <w:r w:rsidR="00BD5C42" w:rsidRPr="00C45496">
        <w:t xml:space="preserve"> </w:t>
      </w:r>
      <w:r w:rsidR="00746FFD" w:rsidRPr="00C45496">
        <w:t xml:space="preserve">99.3 </w:t>
      </w:r>
      <w:r w:rsidR="00D150DD" w:rsidRPr="00C45496">
        <w:t xml:space="preserve">who </w:t>
      </w:r>
      <w:r w:rsidR="008F1295" w:rsidRPr="00C45496">
        <w:t xml:space="preserve">may act on behalf of </w:t>
      </w:r>
      <w:r w:rsidR="00640CCF" w:rsidRPr="00C45496">
        <w:t>a</w:t>
      </w:r>
      <w:r w:rsidRPr="00C45496">
        <w:t xml:space="preserve"> </w:t>
      </w:r>
      <w:r w:rsidR="00640CCF" w:rsidRPr="00C45496">
        <w:t>student</w:t>
      </w:r>
      <w:r w:rsidR="00397A9C" w:rsidRPr="00C45496">
        <w:t xml:space="preserve"> unless prohibited by law or court order</w:t>
      </w:r>
      <w:r w:rsidR="00640CCF" w:rsidRPr="00C45496">
        <w:t>, including signing a formal complaint</w:t>
      </w:r>
      <w:r w:rsidR="00C65D2E" w:rsidRPr="00C45496">
        <w:t>, agreeing to supportive measures,</w:t>
      </w:r>
      <w:r w:rsidR="00397A9C" w:rsidRPr="00C45496">
        <w:t xml:space="preserve"> or responding to allegations in a complaint</w:t>
      </w:r>
      <w:r w:rsidR="00640CCF" w:rsidRPr="00C45496">
        <w:t xml:space="preserve"> </w:t>
      </w:r>
      <w:r w:rsidR="00133659" w:rsidRPr="00C45496">
        <w:t>[see FL(TSBVI</w:t>
      </w:r>
      <w:r w:rsidR="006E25E7" w:rsidRPr="00C45496">
        <w:t>)</w:t>
      </w:r>
    </w:p>
    <w:p w14:paraId="63FFEB5C" w14:textId="20D7E787" w:rsidR="00036344" w:rsidRPr="00C45496" w:rsidRDefault="003D2C44" w:rsidP="006E25E7">
      <w:pPr>
        <w:pStyle w:val="local1"/>
      </w:pPr>
      <w:r w:rsidRPr="00C45496">
        <w:t>“Preponderance of Evidence”</w:t>
      </w:r>
      <w:r w:rsidR="00B97D34" w:rsidRPr="00C45496">
        <w:t xml:space="preserve"> </w:t>
      </w:r>
      <w:r w:rsidR="00C446AE" w:rsidRPr="00C45496">
        <w:t xml:space="preserve">is a standard of evidence </w:t>
      </w:r>
      <w:r w:rsidR="00B97D34" w:rsidRPr="00C45496">
        <w:t>mean</w:t>
      </w:r>
      <w:r w:rsidR="00C446AE" w:rsidRPr="00C45496">
        <w:t>ing</w:t>
      </w:r>
      <w:r w:rsidR="00B97D34" w:rsidRPr="00C45496">
        <w:t xml:space="preserve"> that a proposition is more likely than not to be true.</w:t>
      </w:r>
    </w:p>
    <w:p w14:paraId="2093260B" w14:textId="2A8A265F" w:rsidR="003E5235" w:rsidRPr="00C45496" w:rsidRDefault="003E5235" w:rsidP="008F1295">
      <w:pPr>
        <w:pStyle w:val="local1"/>
      </w:pPr>
      <w:r w:rsidRPr="00C45496">
        <w:lastRenderedPageBreak/>
        <w:t>“Respondent” means the alleged perpetrator of conduct that could constitute sexual harassment</w:t>
      </w:r>
      <w:r w:rsidR="00A3778E" w:rsidRPr="00C45496">
        <w:t xml:space="preserve"> and </w:t>
      </w:r>
      <w:r w:rsidR="0010761B" w:rsidRPr="00C45496">
        <w:t xml:space="preserve">may </w:t>
      </w:r>
      <w:r w:rsidR="00A3778E" w:rsidRPr="00C45496">
        <w:t>include the parent acting on behalf of a student</w:t>
      </w:r>
      <w:r w:rsidRPr="00C45496">
        <w:t>.</w:t>
      </w:r>
    </w:p>
    <w:p w14:paraId="4E3F5B3E" w14:textId="0C079869" w:rsidR="006E25E7" w:rsidRPr="00C45496" w:rsidRDefault="007700E6" w:rsidP="008F1295">
      <w:pPr>
        <w:pStyle w:val="local1"/>
      </w:pPr>
      <w:r w:rsidRPr="00C45496">
        <w:t>“Sexual harassment” refers to sexual harassment as defined by Title IX</w:t>
      </w:r>
      <w:r w:rsidR="00133659" w:rsidRPr="00C45496">
        <w:t xml:space="preserve"> [see FFH(TSBVI</w:t>
      </w:r>
      <w:r w:rsidR="009B4FCE" w:rsidRPr="00C45496">
        <w:t>)]</w:t>
      </w:r>
      <w:r w:rsidRPr="00C45496">
        <w:t>.</w:t>
      </w:r>
      <w:r w:rsidR="006E25E7" w:rsidRPr="00C45496">
        <w:t xml:space="preserve"> </w:t>
      </w:r>
    </w:p>
    <w:p w14:paraId="69AAC9B4" w14:textId="082C3313" w:rsidR="00084A61" w:rsidRPr="00C45496" w:rsidRDefault="00A46790" w:rsidP="00084A61">
      <w:pPr>
        <w:pStyle w:val="local1"/>
      </w:pPr>
      <w:r w:rsidRPr="00C45496">
        <w:t>“S</w:t>
      </w:r>
      <w:r w:rsidR="00201120" w:rsidRPr="00C45496">
        <w:t xml:space="preserve">tudent” means </w:t>
      </w:r>
      <w:r w:rsidR="00882B95" w:rsidRPr="00C45496">
        <w:t>an enrolled student or other non-employee who is participating or attemptin</w:t>
      </w:r>
      <w:r w:rsidR="00133659" w:rsidRPr="00C45496">
        <w:t>g to participate in TSBVI</w:t>
      </w:r>
      <w:r w:rsidR="00882B95" w:rsidRPr="00C45496">
        <w:t>’s education program or activity</w:t>
      </w:r>
      <w:r w:rsidR="00390457" w:rsidRPr="00C45496">
        <w:t>.</w:t>
      </w:r>
    </w:p>
    <w:p w14:paraId="54204F67" w14:textId="23267A81" w:rsidR="00084A61" w:rsidRPr="00C45496" w:rsidRDefault="00084A61" w:rsidP="00084A61">
      <w:pPr>
        <w:pStyle w:val="local1"/>
      </w:pPr>
      <w:r w:rsidRPr="00C45496">
        <w:t xml:space="preserve">“Title IX disciplinary sanction” means an action that is not a supportive measure as defined by 34 C.F.R. </w:t>
      </w:r>
      <w:r w:rsidR="00BD5C42" w:rsidRPr="00C45496">
        <w:rPr>
          <w:rFonts w:cs="Arial"/>
        </w:rPr>
        <w:t>§</w:t>
      </w:r>
      <w:r w:rsidR="00BD5C42" w:rsidRPr="00C45496">
        <w:t xml:space="preserve"> </w:t>
      </w:r>
      <w:r w:rsidRPr="00C45496">
        <w:t xml:space="preserve">106.30 and </w:t>
      </w:r>
      <w:r w:rsidR="00C446AE" w:rsidRPr="00C45496">
        <w:t xml:space="preserve">is </w:t>
      </w:r>
      <w:r w:rsidRPr="00C45496">
        <w:t xml:space="preserve">imposed against a respondent only after </w:t>
      </w:r>
      <w:r w:rsidR="00133659" w:rsidRPr="00C45496">
        <w:t>TSBVI</w:t>
      </w:r>
      <w:r w:rsidRPr="00C45496">
        <w:t xml:space="preserve"> </w:t>
      </w:r>
      <w:r w:rsidR="00C446AE" w:rsidRPr="00C45496">
        <w:t>follows</w:t>
      </w:r>
      <w:r w:rsidRPr="00C45496">
        <w:t xml:space="preserve"> the Title IX formal complaint process in compliance with law and board policy. Title IX disciplinary sanctions do not </w:t>
      </w:r>
      <w:r w:rsidR="00882B95" w:rsidRPr="00C45496">
        <w:t>include</w:t>
      </w:r>
      <w:r w:rsidRPr="00C45496">
        <w:t xml:space="preserve"> an</w:t>
      </w:r>
      <w:r w:rsidR="00C446AE" w:rsidRPr="00C45496">
        <w:t xml:space="preserve"> authorized</w:t>
      </w:r>
      <w:r w:rsidRPr="00C45496">
        <w:t xml:space="preserve"> interim action or measure, and do not refer to discipline imposed on a respondent under the </w:t>
      </w:r>
      <w:r w:rsidR="00133659" w:rsidRPr="00C45496">
        <w:t>TSBVI</w:t>
      </w:r>
      <w:r w:rsidRPr="00C45496">
        <w:t xml:space="preserve">’s Student Code of Conduct for conduct </w:t>
      </w:r>
      <w:r w:rsidR="00882B95" w:rsidRPr="00C45496">
        <w:t xml:space="preserve">other than </w:t>
      </w:r>
      <w:r w:rsidRPr="00C45496">
        <w:t>sexual harassment as def</w:t>
      </w:r>
      <w:r w:rsidR="00133659" w:rsidRPr="00C45496">
        <w:t>ined by Title IX. [See FFH(TSBVI</w:t>
      </w:r>
      <w:r w:rsidRPr="00C45496">
        <w:t>)]</w:t>
      </w:r>
    </w:p>
    <w:p w14:paraId="5218F362" w14:textId="2021A775" w:rsidR="006E25E7" w:rsidRPr="00C45496" w:rsidRDefault="002A73FF" w:rsidP="00201120">
      <w:pPr>
        <w:pStyle w:val="local1"/>
      </w:pPr>
      <w:r w:rsidRPr="00C45496">
        <w:t>“Title IX personnel” includes the Coordinator</w:t>
      </w:r>
      <w:r w:rsidR="00C446AE" w:rsidRPr="00C45496">
        <w:t xml:space="preserve"> and other individuals designated by </w:t>
      </w:r>
      <w:r w:rsidR="00133659" w:rsidRPr="00C45496">
        <w:t>TSBVI</w:t>
      </w:r>
      <w:r w:rsidR="00C446AE" w:rsidRPr="00C45496">
        <w:t xml:space="preserve"> or Coordinator to perform a role in the formal complaint process, including</w:t>
      </w:r>
      <w:r w:rsidRPr="00C45496">
        <w:t xml:space="preserve"> investigator, decision</w:t>
      </w:r>
      <w:r w:rsidR="00A413B7" w:rsidRPr="00C45496">
        <w:t>-</w:t>
      </w:r>
      <w:r w:rsidRPr="00C45496">
        <w:t xml:space="preserve">maker, </w:t>
      </w:r>
      <w:r w:rsidR="00FB2D12" w:rsidRPr="00C45496">
        <w:t>appellate decision</w:t>
      </w:r>
      <w:r w:rsidR="00A413B7" w:rsidRPr="00C45496">
        <w:t>-</w:t>
      </w:r>
      <w:r w:rsidR="00FB2D12" w:rsidRPr="00C45496">
        <w:t xml:space="preserve">maker, </w:t>
      </w:r>
      <w:r w:rsidRPr="00C45496">
        <w:t xml:space="preserve">and, if applicable, </w:t>
      </w:r>
      <w:r w:rsidR="00093EFF" w:rsidRPr="00C45496">
        <w:t>facilitator of</w:t>
      </w:r>
      <w:r w:rsidRPr="00C45496">
        <w:t xml:space="preserve"> an informal resolution process.</w:t>
      </w:r>
    </w:p>
    <w:bookmarkEnd w:id="2"/>
    <w:p w14:paraId="692FD7D4" w14:textId="56CD5281" w:rsidR="00780F44" w:rsidRPr="00C45496" w:rsidRDefault="00133659" w:rsidP="00493A51">
      <w:pPr>
        <w:pStyle w:val="margin1"/>
        <w:framePr w:wrap="around"/>
      </w:pPr>
      <w:r w:rsidRPr="00C45496">
        <w:t>TSBVI</w:t>
      </w:r>
      <w:r w:rsidR="00780F44" w:rsidRPr="00C45496">
        <w:t xml:space="preserve"> Response to </w:t>
      </w:r>
      <w:r w:rsidR="006E2500" w:rsidRPr="00C45496">
        <w:t>Allegations of</w:t>
      </w:r>
      <w:r w:rsidR="00780F44" w:rsidRPr="00C45496">
        <w:t xml:space="preserve"> Sex</w:t>
      </w:r>
      <w:r w:rsidR="00AC6C00" w:rsidRPr="00C45496">
        <w:t>ual</w:t>
      </w:r>
      <w:r w:rsidR="00780F44" w:rsidRPr="00C45496">
        <w:t xml:space="preserve"> Harassment</w:t>
      </w:r>
    </w:p>
    <w:p w14:paraId="48DFF47D" w14:textId="017B85A6" w:rsidR="004C34DF" w:rsidRPr="00C45496" w:rsidRDefault="00133659" w:rsidP="004C34DF">
      <w:pPr>
        <w:pStyle w:val="local1"/>
      </w:pPr>
      <w:r w:rsidRPr="00C45496">
        <w:t>TSBVI</w:t>
      </w:r>
      <w:r w:rsidR="004C34DF" w:rsidRPr="00C45496">
        <w:t xml:space="preserve">’s Title IX Coordinator will respond promptly and equitably to any verbal or written report or disclosure of alleged sexual harassment received from any source, including personal observation, that provides </w:t>
      </w:r>
      <w:r w:rsidR="00044514" w:rsidRPr="00C45496">
        <w:t xml:space="preserve">a </w:t>
      </w:r>
      <w:r w:rsidRPr="00C45496">
        <w:t>TSBVI</w:t>
      </w:r>
      <w:r w:rsidR="004C34DF" w:rsidRPr="00C45496">
        <w:t xml:space="preserve"> employee </w:t>
      </w:r>
      <w:r w:rsidR="00927776" w:rsidRPr="00C45496">
        <w:t>notice</w:t>
      </w:r>
      <w:r w:rsidR="00084A61" w:rsidRPr="00C45496">
        <w:t xml:space="preserve"> of the alleged conduct</w:t>
      </w:r>
      <w:r w:rsidR="004C34DF" w:rsidRPr="00C45496">
        <w:t xml:space="preserve">. The Coordinator will address anonymous reports if </w:t>
      </w:r>
      <w:r w:rsidR="00A46790" w:rsidRPr="00C45496">
        <w:t xml:space="preserve">there is an identifiable </w:t>
      </w:r>
      <w:r w:rsidR="004C34DF" w:rsidRPr="00C45496">
        <w:t>party.</w:t>
      </w:r>
    </w:p>
    <w:p w14:paraId="5191085F" w14:textId="18410667" w:rsidR="00FE7550" w:rsidRPr="00C45496" w:rsidRDefault="00FE7550" w:rsidP="00806DCF">
      <w:pPr>
        <w:pStyle w:val="local1"/>
        <w:rPr>
          <w:rFonts w:cstheme="minorHAnsi"/>
        </w:rPr>
      </w:pPr>
      <w:r w:rsidRPr="00C45496">
        <w:rPr>
          <w:rFonts w:cstheme="minorHAnsi"/>
        </w:rPr>
        <w:t xml:space="preserve">When the Coordinator determines that an allegation of sex-based harassment in a </w:t>
      </w:r>
      <w:r w:rsidR="00133659" w:rsidRPr="00C45496">
        <w:rPr>
          <w:rFonts w:cstheme="minorHAnsi"/>
        </w:rPr>
        <w:t>TSBVI</w:t>
      </w:r>
      <w:r w:rsidRPr="00C45496">
        <w:rPr>
          <w:rFonts w:cstheme="minorHAnsi"/>
        </w:rPr>
        <w:t xml:space="preserve"> program or activity, if proved, would meet the definition of sexual harassment under Title IX, the Coordinator </w:t>
      </w:r>
      <w:r w:rsidRPr="00C45496">
        <w:t xml:space="preserve">will follow the procedures below. </w:t>
      </w:r>
      <w:r w:rsidR="00093EFF" w:rsidRPr="00C45496">
        <w:rPr>
          <w:rFonts w:cstheme="minorHAnsi"/>
        </w:rPr>
        <w:t>In accordance with law, t</w:t>
      </w:r>
      <w:r w:rsidRPr="00C45496">
        <w:rPr>
          <w:rFonts w:cstheme="minorHAnsi"/>
        </w:rPr>
        <w:t xml:space="preserve">he Coordinator may consolidate </w:t>
      </w:r>
      <w:r w:rsidR="00806DCF" w:rsidRPr="00C45496">
        <w:rPr>
          <w:rFonts w:cstheme="minorHAnsi"/>
        </w:rPr>
        <w:t xml:space="preserve">formal </w:t>
      </w:r>
      <w:r w:rsidRPr="00C45496">
        <w:rPr>
          <w:rFonts w:cstheme="minorHAnsi"/>
        </w:rPr>
        <w:t>complaints or separate proceedings</w:t>
      </w:r>
      <w:r w:rsidR="00806DCF" w:rsidRPr="00C45496">
        <w:rPr>
          <w:rFonts w:cstheme="minorHAnsi"/>
        </w:rPr>
        <w:t xml:space="preserve"> where allegations of sexual harassment arise out of the same facts or circumstances</w:t>
      </w:r>
      <w:r w:rsidRPr="00C45496">
        <w:rPr>
          <w:rFonts w:cstheme="minorHAnsi"/>
        </w:rPr>
        <w:t>.</w:t>
      </w:r>
    </w:p>
    <w:p w14:paraId="222FEFEE" w14:textId="10B85F21" w:rsidR="008271D7" w:rsidRPr="00C45496" w:rsidRDefault="004C34DF" w:rsidP="004C34DF">
      <w:pPr>
        <w:pStyle w:val="local1"/>
      </w:pPr>
      <w:r w:rsidRPr="00C45496">
        <w:t xml:space="preserve">For all other allegations, the Title IX Coordinator will follow the applicable </w:t>
      </w:r>
      <w:r w:rsidR="00133659" w:rsidRPr="00C45496">
        <w:t>TSBVI</w:t>
      </w:r>
      <w:r w:rsidRPr="00C45496">
        <w:t xml:space="preserve"> policy and procedures, including FFH</w:t>
      </w:r>
      <w:r w:rsidR="000C0C5D" w:rsidRPr="00C45496">
        <w:t xml:space="preserve">, as applicable, </w:t>
      </w:r>
      <w:r w:rsidRPr="00C45496">
        <w:t xml:space="preserve">for Investigations of Reports Other Than Title IX, FFI regarding bullying, DH for employee standards of conduct, or the Student Code of Conduct. </w:t>
      </w:r>
      <w:r w:rsidR="008271D7" w:rsidRPr="00C45496">
        <w:t>Concurrent with a Tit</w:t>
      </w:r>
      <w:r w:rsidR="00133659" w:rsidRPr="00C45496">
        <w:t>le IX formal complaint process, TSBVI</w:t>
      </w:r>
      <w:r w:rsidR="008271D7" w:rsidRPr="00C45496">
        <w:t xml:space="preserve"> may implement discipline in accordance with board policies and the Student Code of Conduct for prohibited conduct </w:t>
      </w:r>
      <w:r w:rsidR="00E54C68" w:rsidRPr="00C45496">
        <w:t xml:space="preserve">other than </w:t>
      </w:r>
      <w:r w:rsidR="008271D7" w:rsidRPr="00C45496">
        <w:t>sexual harassment as defined by Title IX.</w:t>
      </w:r>
    </w:p>
    <w:p w14:paraId="7A8F3032" w14:textId="77777777" w:rsidR="004C34DF" w:rsidRPr="00C45496" w:rsidRDefault="004C34DF" w:rsidP="004C34DF">
      <w:pPr>
        <w:pStyle w:val="margin2"/>
        <w:framePr w:wrap="around"/>
      </w:pPr>
      <w:r w:rsidRPr="00C45496">
        <w:lastRenderedPageBreak/>
        <w:t>Initial Response</w:t>
      </w:r>
    </w:p>
    <w:p w14:paraId="5F2AB08A" w14:textId="652CCA95" w:rsidR="004C34DF" w:rsidRPr="00C45496" w:rsidRDefault="004C34DF" w:rsidP="00462E7E">
      <w:pPr>
        <w:pStyle w:val="list-level1"/>
        <w:numPr>
          <w:ilvl w:val="0"/>
          <w:numId w:val="0"/>
        </w:numPr>
      </w:pPr>
      <w:r w:rsidRPr="00C45496">
        <w:t>Upon receipt of a report</w:t>
      </w:r>
      <w:r w:rsidR="00133659" w:rsidRPr="00C45496">
        <w:t xml:space="preserve"> alleging sexual harassment,</w:t>
      </w:r>
      <w:r w:rsidRPr="00C45496">
        <w:t xml:space="preserve"> </w:t>
      </w:r>
      <w:r w:rsidR="00133659" w:rsidRPr="00C45496">
        <w:t>TSBVI</w:t>
      </w:r>
      <w:r w:rsidRPr="00C45496">
        <w:t>’s Title IX Coordinator or designee will</w:t>
      </w:r>
      <w:r w:rsidR="008E6620" w:rsidRPr="00C45496">
        <w:t xml:space="preserve"> promptly contact the complainant</w:t>
      </w:r>
      <w:r w:rsidR="00891C13" w:rsidRPr="00C45496">
        <w:t xml:space="preserve"> in writing</w:t>
      </w:r>
      <w:r w:rsidR="008E6620" w:rsidRPr="00C45496">
        <w:t>, when identified, to</w:t>
      </w:r>
      <w:r w:rsidR="00462E7E" w:rsidRPr="00C45496">
        <w:t xml:space="preserve"> o</w:t>
      </w:r>
      <w:r w:rsidRPr="00C45496">
        <w:t xml:space="preserve">ffer supportive measures </w:t>
      </w:r>
      <w:r w:rsidR="00462E7E" w:rsidRPr="00C45496">
        <w:t>and i</w:t>
      </w:r>
      <w:r w:rsidR="00A46790" w:rsidRPr="00C45496">
        <w:t xml:space="preserve">nteract with </w:t>
      </w:r>
      <w:r w:rsidRPr="00C45496">
        <w:t>the complainant to:</w:t>
      </w:r>
    </w:p>
    <w:p w14:paraId="03C391D3" w14:textId="77777777" w:rsidR="004C34DF" w:rsidRPr="00C45496" w:rsidRDefault="004C34DF" w:rsidP="004C34DF">
      <w:pPr>
        <w:pStyle w:val="list-level1"/>
        <w:numPr>
          <w:ilvl w:val="1"/>
          <w:numId w:val="30"/>
        </w:numPr>
      </w:pPr>
      <w:r w:rsidRPr="00C45496">
        <w:t xml:space="preserve">Provide information about supportive measures; </w:t>
      </w:r>
    </w:p>
    <w:p w14:paraId="00BE1084" w14:textId="77777777" w:rsidR="004C34DF" w:rsidRPr="00C45496" w:rsidRDefault="004C34DF" w:rsidP="004C34DF">
      <w:pPr>
        <w:pStyle w:val="list-level1"/>
        <w:numPr>
          <w:ilvl w:val="1"/>
          <w:numId w:val="30"/>
        </w:numPr>
      </w:pPr>
      <w:r w:rsidRPr="00C45496">
        <w:t xml:space="preserve">Discuss the availability of supportive measures; </w:t>
      </w:r>
    </w:p>
    <w:p w14:paraId="168C48A9" w14:textId="57880AF6" w:rsidR="004C34DF" w:rsidRPr="00C45496" w:rsidRDefault="004C34DF" w:rsidP="004C34DF">
      <w:pPr>
        <w:pStyle w:val="list-level1"/>
        <w:numPr>
          <w:ilvl w:val="1"/>
          <w:numId w:val="30"/>
        </w:numPr>
      </w:pPr>
      <w:r w:rsidRPr="00C45496">
        <w:t xml:space="preserve">Consider the complainant’s wishes concerning supportive measures; </w:t>
      </w:r>
    </w:p>
    <w:p w14:paraId="1ECC316C" w14:textId="38661F3A" w:rsidR="004C34DF" w:rsidRPr="00C45496" w:rsidRDefault="004C34DF" w:rsidP="004C34DF">
      <w:pPr>
        <w:pStyle w:val="list-level1"/>
        <w:numPr>
          <w:ilvl w:val="1"/>
          <w:numId w:val="30"/>
        </w:numPr>
      </w:pPr>
      <w:r w:rsidRPr="00C45496">
        <w:t xml:space="preserve">Explain to the complainant the process for filing a formal complaint under Title IX; </w:t>
      </w:r>
      <w:r w:rsidR="00A46790" w:rsidRPr="00C45496">
        <w:t>and</w:t>
      </w:r>
      <w:r w:rsidR="00A46790" w:rsidRPr="00C45496" w:rsidDel="00FC000A">
        <w:t xml:space="preserve"> </w:t>
      </w:r>
    </w:p>
    <w:p w14:paraId="1A90B9CA" w14:textId="27C5624C" w:rsidR="004C34DF" w:rsidRPr="00C45496" w:rsidRDefault="004C34DF" w:rsidP="004C34DF">
      <w:pPr>
        <w:pStyle w:val="list-level1"/>
        <w:numPr>
          <w:ilvl w:val="1"/>
          <w:numId w:val="30"/>
        </w:numPr>
      </w:pPr>
      <w:r w:rsidRPr="00C45496">
        <w:t xml:space="preserve">Provide each </w:t>
      </w:r>
      <w:r w:rsidR="00AC77BA" w:rsidRPr="00C45496">
        <w:t xml:space="preserve">complainant </w:t>
      </w:r>
      <w:r w:rsidRPr="00C45496">
        <w:t xml:space="preserve">with a copy of the </w:t>
      </w:r>
      <w:r w:rsidR="00B53528" w:rsidRPr="00C45496">
        <w:t>TSBVI</w:t>
      </w:r>
      <w:r w:rsidRPr="00C45496">
        <w:t>’s Title IX formal complaint process.</w:t>
      </w:r>
    </w:p>
    <w:p w14:paraId="3F04B2CC" w14:textId="0D12E4CC" w:rsidR="00390457" w:rsidRPr="00C45496" w:rsidRDefault="004C34DF" w:rsidP="004C34DF">
      <w:pPr>
        <w:pStyle w:val="list-level1"/>
        <w:numPr>
          <w:ilvl w:val="0"/>
          <w:numId w:val="0"/>
        </w:numPr>
      </w:pPr>
      <w:r w:rsidRPr="00C45496">
        <w:t xml:space="preserve">The Title IX Coordinator </w:t>
      </w:r>
      <w:r w:rsidR="003D2C44" w:rsidRPr="00C45496">
        <w:t xml:space="preserve">will </w:t>
      </w:r>
      <w:r w:rsidRPr="00C45496">
        <w:t>document whether a complainant elects to accept or decline the supportive measure or measures offered.</w:t>
      </w:r>
    </w:p>
    <w:p w14:paraId="5DF33CB0" w14:textId="39713ADA" w:rsidR="008E6610" w:rsidRPr="00C45496" w:rsidRDefault="00390457" w:rsidP="004C34DF">
      <w:pPr>
        <w:pStyle w:val="list-level1"/>
        <w:numPr>
          <w:ilvl w:val="0"/>
          <w:numId w:val="0"/>
        </w:numPr>
      </w:pPr>
      <w:r w:rsidRPr="00C45496">
        <w:t xml:space="preserve">The Title IX Coordinator’s initial response </w:t>
      </w:r>
      <w:r w:rsidR="008E6610" w:rsidRPr="00C45496">
        <w:t xml:space="preserve">and interaction </w:t>
      </w:r>
      <w:r w:rsidRPr="00C45496">
        <w:t xml:space="preserve">may be directed solely at the parent of the alleged victim, when appropriate based on the </w:t>
      </w:r>
      <w:r w:rsidR="00093EFF" w:rsidRPr="00C45496">
        <w:t>circumstances</w:t>
      </w:r>
      <w:r w:rsidRPr="00C45496">
        <w:t>.</w:t>
      </w:r>
    </w:p>
    <w:p w14:paraId="2956526D" w14:textId="77777777" w:rsidR="00780F44" w:rsidRPr="00C45496" w:rsidRDefault="00780F44" w:rsidP="00780F44">
      <w:pPr>
        <w:pStyle w:val="margin2"/>
        <w:framePr w:wrap="around"/>
      </w:pPr>
      <w:r w:rsidRPr="00C45496">
        <w:t>Equitable Treatment</w:t>
      </w:r>
    </w:p>
    <w:p w14:paraId="39205AE0" w14:textId="7F1835A7" w:rsidR="00231E87" w:rsidRPr="00C45496" w:rsidRDefault="00852EA0" w:rsidP="00231E87">
      <w:pPr>
        <w:pStyle w:val="list-level1"/>
        <w:numPr>
          <w:ilvl w:val="0"/>
          <w:numId w:val="0"/>
        </w:numPr>
      </w:pPr>
      <w:r w:rsidRPr="00C45496">
        <w:t>T</w:t>
      </w:r>
      <w:r w:rsidR="00694551" w:rsidRPr="00C45496">
        <w:t xml:space="preserve">SBVI’s </w:t>
      </w:r>
      <w:r w:rsidRPr="00C45496">
        <w:t xml:space="preserve">treatment of complainants, respondents, witnesses, and any other person involved in a formal complaint process shall not discriminate on the basis of sex. </w:t>
      </w:r>
      <w:r w:rsidR="00780F44" w:rsidRPr="00C45496">
        <w:t>All parties i</w:t>
      </w:r>
      <w:r w:rsidR="00493A51" w:rsidRPr="00C45496">
        <w:t xml:space="preserve">nvolved </w:t>
      </w:r>
      <w:r w:rsidR="00780F44" w:rsidRPr="00C45496">
        <w:t xml:space="preserve">will be treated fairly, with dignity, respect, and sensitivity </w:t>
      </w:r>
      <w:r w:rsidR="00093EFF" w:rsidRPr="00C45496">
        <w:t xml:space="preserve">and </w:t>
      </w:r>
      <w:r w:rsidR="00780F44" w:rsidRPr="00C45496">
        <w:t xml:space="preserve">without bias, prejudice, or </w:t>
      </w:r>
      <w:r w:rsidR="00093EFF" w:rsidRPr="00C45496">
        <w:t xml:space="preserve">reliance on </w:t>
      </w:r>
      <w:r w:rsidR="00780F44" w:rsidRPr="00C45496">
        <w:t>stereotypes.</w:t>
      </w:r>
    </w:p>
    <w:p w14:paraId="5772A08F" w14:textId="57173D4B" w:rsidR="00780F44" w:rsidRPr="00C45496" w:rsidRDefault="00780F44" w:rsidP="008E6610">
      <w:pPr>
        <w:pStyle w:val="margin2"/>
        <w:framePr w:wrap="around"/>
        <w:ind w:left="270"/>
      </w:pPr>
      <w:r w:rsidRPr="00C45496">
        <w:t>Supportive Measures</w:t>
      </w:r>
    </w:p>
    <w:p w14:paraId="63867FD7" w14:textId="69CFB1D7" w:rsidR="00780F44" w:rsidRPr="00C45496" w:rsidRDefault="00780F44" w:rsidP="00780F44">
      <w:pPr>
        <w:pStyle w:val="list-level1"/>
        <w:numPr>
          <w:ilvl w:val="0"/>
          <w:numId w:val="0"/>
        </w:numPr>
      </w:pPr>
      <w:r w:rsidRPr="00C45496">
        <w:t xml:space="preserve">The Title IX Coordinator </w:t>
      </w:r>
      <w:r w:rsidR="00B97795" w:rsidRPr="00C45496">
        <w:t>is</w:t>
      </w:r>
      <w:r w:rsidRPr="00C45496">
        <w:t xml:space="preserve"> responsible for effective implementation of supportive measures</w:t>
      </w:r>
      <w:r w:rsidR="00B97795" w:rsidRPr="00C45496">
        <w:t xml:space="preserve"> and will serve as the point of contact for any questions or concerns related to supportive measures.</w:t>
      </w:r>
    </w:p>
    <w:p w14:paraId="2B6282F0" w14:textId="26A81929" w:rsidR="00521136" w:rsidRPr="00C45496" w:rsidRDefault="00780F44" w:rsidP="00780F44">
      <w:pPr>
        <w:pStyle w:val="list-level1"/>
        <w:numPr>
          <w:ilvl w:val="0"/>
          <w:numId w:val="0"/>
        </w:numPr>
      </w:pPr>
      <w:r w:rsidRPr="00C45496">
        <w:t xml:space="preserve">Supportive measures must be offered to </w:t>
      </w:r>
      <w:r w:rsidR="00C32703" w:rsidRPr="00C45496">
        <w:t>a complainant</w:t>
      </w:r>
      <w:r w:rsidR="007C78F9" w:rsidRPr="00C45496">
        <w:t xml:space="preserve"> and</w:t>
      </w:r>
      <w:r w:rsidR="001207C0" w:rsidRPr="00C45496">
        <w:t xml:space="preserve">, as appropriate, also </w:t>
      </w:r>
      <w:r w:rsidR="007C78F9" w:rsidRPr="00C45496">
        <w:t xml:space="preserve">to </w:t>
      </w:r>
      <w:r w:rsidR="00EF7654" w:rsidRPr="00C45496">
        <w:t>a respondent</w:t>
      </w:r>
      <w:r w:rsidR="00D520D6" w:rsidRPr="00C45496">
        <w:t xml:space="preserve">. Supportive measures must be offered regardless of whether a formal complaint is </w:t>
      </w:r>
      <w:r w:rsidR="00C32703" w:rsidRPr="00C45496">
        <w:t>initiated</w:t>
      </w:r>
      <w:r w:rsidR="00D520D6" w:rsidRPr="00C45496">
        <w:t xml:space="preserve">, or </w:t>
      </w:r>
      <w:r w:rsidR="001F1F25" w:rsidRPr="00C45496">
        <w:t xml:space="preserve">whether the complainant </w:t>
      </w:r>
      <w:r w:rsidR="00D520D6" w:rsidRPr="00C45496">
        <w:t>participates in the formal complaint process.</w:t>
      </w:r>
      <w:r w:rsidR="001F1F25" w:rsidRPr="00C45496">
        <w:t xml:space="preserve"> </w:t>
      </w:r>
      <w:r w:rsidRPr="00C45496">
        <w:t>A complainant is not required to show proof of allegations to receive supportive measures</w:t>
      </w:r>
      <w:r w:rsidR="00555425" w:rsidRPr="00C45496">
        <w:t xml:space="preserve"> and is not required to accept supportive measures</w:t>
      </w:r>
      <w:r w:rsidRPr="00C45496">
        <w:t>.</w:t>
      </w:r>
    </w:p>
    <w:p w14:paraId="78AE19F2" w14:textId="4AB07F81" w:rsidR="00C32703" w:rsidRPr="00C45496" w:rsidRDefault="00780F44" w:rsidP="00C32703">
      <w:pPr>
        <w:pStyle w:val="list-level1"/>
        <w:numPr>
          <w:ilvl w:val="0"/>
          <w:numId w:val="0"/>
        </w:numPr>
      </w:pPr>
      <w:r w:rsidRPr="00C45496">
        <w:t xml:space="preserve">Supportive measures </w:t>
      </w:r>
      <w:r w:rsidR="00852EA0" w:rsidRPr="00C45496">
        <w:t>shall</w:t>
      </w:r>
      <w:r w:rsidR="00521136" w:rsidRPr="00C45496">
        <w:t xml:space="preserve"> </w:t>
      </w:r>
      <w:r w:rsidRPr="00C45496">
        <w:t xml:space="preserve">be individualized, </w:t>
      </w:r>
      <w:r w:rsidR="00852EA0" w:rsidRPr="00C45496">
        <w:t xml:space="preserve">non-punitive, offered </w:t>
      </w:r>
      <w:r w:rsidR="00521136" w:rsidRPr="00C45496">
        <w:t xml:space="preserve">without fee or charge, </w:t>
      </w:r>
      <w:r w:rsidR="00852EA0" w:rsidRPr="00C45496">
        <w:t xml:space="preserve">and shall </w:t>
      </w:r>
      <w:r w:rsidRPr="00C45496">
        <w:t>not unreasonably burden either party. Supportive measures may include services</w:t>
      </w:r>
      <w:r w:rsidR="00852EA0" w:rsidRPr="00C45496">
        <w:t>, as reasonably available, designed</w:t>
      </w:r>
      <w:r w:rsidRPr="00C45496">
        <w:t xml:space="preserve"> to protect </w:t>
      </w:r>
      <w:r w:rsidR="00852EA0" w:rsidRPr="00C45496">
        <w:t xml:space="preserve">the safety of </w:t>
      </w:r>
      <w:r w:rsidRPr="00C45496">
        <w:t>all parties</w:t>
      </w:r>
      <w:r w:rsidR="00694551" w:rsidRPr="00C45496">
        <w:t xml:space="preserve"> or TSBVI</w:t>
      </w:r>
      <w:r w:rsidR="00852EA0" w:rsidRPr="00C45496">
        <w:t>’s educational environment or to deter sexual harassment</w:t>
      </w:r>
      <w:r w:rsidR="00694551" w:rsidRPr="00C45496">
        <w:t>. TSBVI</w:t>
      </w:r>
      <w:r w:rsidR="00C32703" w:rsidRPr="00C45496">
        <w:t xml:space="preserve"> is not required to </w:t>
      </w:r>
      <w:r w:rsidR="00462E7E" w:rsidRPr="00C45496">
        <w:t xml:space="preserve">offer or </w:t>
      </w:r>
      <w:r w:rsidR="00C32703" w:rsidRPr="00C45496">
        <w:t>provide supportive measures to unidentifi</w:t>
      </w:r>
      <w:r w:rsidR="00852EA0" w:rsidRPr="00C45496">
        <w:t>ed</w:t>
      </w:r>
      <w:r w:rsidR="00C32703" w:rsidRPr="00C45496">
        <w:t xml:space="preserve"> parties.</w:t>
      </w:r>
    </w:p>
    <w:p w14:paraId="24931C30" w14:textId="5A00A90A" w:rsidR="00D26E09" w:rsidRPr="00C45496" w:rsidRDefault="00780F44" w:rsidP="00780F44">
      <w:pPr>
        <w:pStyle w:val="list-level1"/>
        <w:numPr>
          <w:ilvl w:val="0"/>
          <w:numId w:val="0"/>
        </w:numPr>
      </w:pPr>
      <w:r w:rsidRPr="00C45496">
        <w:lastRenderedPageBreak/>
        <w:t xml:space="preserve">Examples of supportive measures </w:t>
      </w:r>
      <w:r w:rsidR="00D26E09" w:rsidRPr="00C45496">
        <w:t xml:space="preserve">may </w:t>
      </w:r>
      <w:r w:rsidRPr="00C45496">
        <w:t>include</w:t>
      </w:r>
      <w:r w:rsidR="00694551" w:rsidRPr="00C45496">
        <w:t>:</w:t>
      </w:r>
    </w:p>
    <w:p w14:paraId="63A21DAF" w14:textId="342F6953" w:rsidR="00D26E09" w:rsidRPr="00C45496" w:rsidRDefault="00D520D6" w:rsidP="00D26E09">
      <w:pPr>
        <w:pStyle w:val="list-level1"/>
        <w:numPr>
          <w:ilvl w:val="0"/>
          <w:numId w:val="38"/>
        </w:numPr>
      </w:pPr>
      <w:r w:rsidRPr="00C45496">
        <w:t xml:space="preserve">counseling about inappropriate behavior and educational conversations; </w:t>
      </w:r>
    </w:p>
    <w:p w14:paraId="2ED06CC9" w14:textId="31262BC2" w:rsidR="00231E87" w:rsidRPr="00C45496" w:rsidRDefault="00231E87" w:rsidP="00D26E09">
      <w:pPr>
        <w:pStyle w:val="list-level1"/>
        <w:numPr>
          <w:ilvl w:val="0"/>
          <w:numId w:val="38"/>
        </w:numPr>
      </w:pPr>
      <w:r w:rsidRPr="00C45496">
        <w:t>explaini</w:t>
      </w:r>
      <w:r w:rsidR="00B53528" w:rsidRPr="00C45496">
        <w:t>ng to a respondent in detail TSBVI</w:t>
      </w:r>
      <w:r w:rsidRPr="00C45496">
        <w:t>’s anti-sexual harassment policy and expectations</w:t>
      </w:r>
      <w:r w:rsidR="00E54C68" w:rsidRPr="00C45496">
        <w:t xml:space="preserve"> of appropriate conduct</w:t>
      </w:r>
      <w:r w:rsidRPr="00C45496">
        <w:t>;</w:t>
      </w:r>
    </w:p>
    <w:p w14:paraId="7C02CBDB" w14:textId="508312E8" w:rsidR="00D26E09" w:rsidRPr="00C45496" w:rsidRDefault="00927776" w:rsidP="00D26E09">
      <w:pPr>
        <w:pStyle w:val="list-level1"/>
        <w:numPr>
          <w:ilvl w:val="0"/>
          <w:numId w:val="38"/>
        </w:numPr>
      </w:pPr>
      <w:r w:rsidRPr="00C45496">
        <w:t>temporarily</w:t>
      </w:r>
      <w:r w:rsidR="00E54C68" w:rsidRPr="00C45496">
        <w:t xml:space="preserve"> </w:t>
      </w:r>
      <w:r w:rsidR="00D520D6" w:rsidRPr="00C45496">
        <w:t xml:space="preserve">sending </w:t>
      </w:r>
      <w:r w:rsidRPr="00C45496">
        <w:t xml:space="preserve">a </w:t>
      </w:r>
      <w:r w:rsidR="00D520D6" w:rsidRPr="00C45496">
        <w:t xml:space="preserve">student to the principal’s office; </w:t>
      </w:r>
    </w:p>
    <w:p w14:paraId="53071E5B" w14:textId="77777777" w:rsidR="00D26E09" w:rsidRPr="00C45496" w:rsidRDefault="00D520D6" w:rsidP="00D26E09">
      <w:pPr>
        <w:pStyle w:val="list-level1"/>
        <w:numPr>
          <w:ilvl w:val="0"/>
          <w:numId w:val="38"/>
        </w:numPr>
      </w:pPr>
      <w:r w:rsidRPr="00C45496">
        <w:t xml:space="preserve">changing seating assignments or class assignments; </w:t>
      </w:r>
    </w:p>
    <w:p w14:paraId="2FD5A338" w14:textId="231DA58B" w:rsidR="00D26E09" w:rsidRPr="00C45496" w:rsidRDefault="00EF7654" w:rsidP="00D26E09">
      <w:pPr>
        <w:pStyle w:val="list-level1"/>
        <w:numPr>
          <w:ilvl w:val="0"/>
          <w:numId w:val="38"/>
        </w:numPr>
      </w:pPr>
      <w:r w:rsidRPr="00C45496">
        <w:t xml:space="preserve">providing </w:t>
      </w:r>
      <w:r w:rsidR="00D520D6" w:rsidRPr="00C45496">
        <w:t xml:space="preserve">other </w:t>
      </w:r>
      <w:r w:rsidR="00780F44" w:rsidRPr="00C45496">
        <w:t xml:space="preserve">counseling; </w:t>
      </w:r>
    </w:p>
    <w:p w14:paraId="7994B96C" w14:textId="407A1E21" w:rsidR="00D26E09" w:rsidRPr="00C45496" w:rsidRDefault="00EF7654" w:rsidP="00D26E09">
      <w:pPr>
        <w:pStyle w:val="list-level1"/>
        <w:numPr>
          <w:ilvl w:val="0"/>
          <w:numId w:val="38"/>
        </w:numPr>
      </w:pPr>
      <w:r w:rsidRPr="00C45496">
        <w:t xml:space="preserve">extending </w:t>
      </w:r>
      <w:r w:rsidR="00780F44" w:rsidRPr="00C45496">
        <w:t xml:space="preserve">of deadlines or other course-related adjustments, including retaking exams or completing makeup work; </w:t>
      </w:r>
    </w:p>
    <w:p w14:paraId="6FE6AE39" w14:textId="73B817C4" w:rsidR="00D26E09" w:rsidRPr="00C45496" w:rsidRDefault="00EF7654" w:rsidP="00D26E09">
      <w:pPr>
        <w:pStyle w:val="list-level1"/>
        <w:numPr>
          <w:ilvl w:val="0"/>
          <w:numId w:val="38"/>
        </w:numPr>
      </w:pPr>
      <w:r w:rsidRPr="00C45496">
        <w:t xml:space="preserve">implementing </w:t>
      </w:r>
      <w:r w:rsidR="00555425" w:rsidRPr="00C45496">
        <w:t xml:space="preserve">mutual or unilateral restrictions on contact between parties; </w:t>
      </w:r>
    </w:p>
    <w:p w14:paraId="16CFFE18" w14:textId="1A90742D" w:rsidR="00F51588" w:rsidRPr="00C45496" w:rsidRDefault="00E54C68" w:rsidP="00A413B7">
      <w:pPr>
        <w:pStyle w:val="list-level1"/>
        <w:numPr>
          <w:ilvl w:val="0"/>
          <w:numId w:val="38"/>
        </w:numPr>
      </w:pPr>
      <w:r w:rsidRPr="00C45496">
        <w:t xml:space="preserve">identifying </w:t>
      </w:r>
      <w:r w:rsidR="00A413B7" w:rsidRPr="00C45496">
        <w:t xml:space="preserve">specific </w:t>
      </w:r>
      <w:r w:rsidRPr="00C45496">
        <w:t xml:space="preserve">campus </w:t>
      </w:r>
      <w:r w:rsidR="00A413B7" w:rsidRPr="00C45496">
        <w:t>employees to serve as regular points of contact for each party</w:t>
      </w:r>
      <w:r w:rsidR="00694551" w:rsidRPr="00C45496">
        <w:t>;</w:t>
      </w:r>
    </w:p>
    <w:p w14:paraId="7F607516" w14:textId="124418CE" w:rsidR="00D26E09" w:rsidRPr="00C45496" w:rsidRDefault="00EF7654" w:rsidP="00D26E09">
      <w:pPr>
        <w:pStyle w:val="list-level1"/>
        <w:numPr>
          <w:ilvl w:val="0"/>
          <w:numId w:val="38"/>
        </w:numPr>
      </w:pPr>
      <w:r w:rsidRPr="00C45496">
        <w:t>modifying</w:t>
      </w:r>
      <w:r w:rsidR="00780F44" w:rsidRPr="00C45496">
        <w:t xml:space="preserve"> class </w:t>
      </w:r>
      <w:r w:rsidR="00231E87" w:rsidRPr="00C45496">
        <w:t xml:space="preserve">or activity </w:t>
      </w:r>
      <w:r w:rsidR="00780F44" w:rsidRPr="00C45496">
        <w:t>schedules</w:t>
      </w:r>
      <w:r w:rsidR="00D26E09" w:rsidRPr="00C45496">
        <w:t>;</w:t>
      </w:r>
    </w:p>
    <w:p w14:paraId="6D37A715" w14:textId="481913FD" w:rsidR="00D26E09" w:rsidRPr="00C45496" w:rsidRDefault="00EF7654" w:rsidP="00D26E09">
      <w:pPr>
        <w:pStyle w:val="list-level1"/>
        <w:numPr>
          <w:ilvl w:val="0"/>
          <w:numId w:val="38"/>
        </w:numPr>
      </w:pPr>
      <w:r w:rsidRPr="00C45496">
        <w:t xml:space="preserve">escorting parties when on </w:t>
      </w:r>
      <w:r w:rsidR="00780F44" w:rsidRPr="00C45496">
        <w:t>campus</w:t>
      </w:r>
      <w:r w:rsidR="00D26E09" w:rsidRPr="00C45496">
        <w:t>;</w:t>
      </w:r>
    </w:p>
    <w:p w14:paraId="650AA85B" w14:textId="3EA8DC3A" w:rsidR="00D26E09" w:rsidRPr="00C45496" w:rsidRDefault="00780F44" w:rsidP="00D26E09">
      <w:pPr>
        <w:pStyle w:val="list-level1"/>
        <w:numPr>
          <w:ilvl w:val="0"/>
          <w:numId w:val="38"/>
        </w:numPr>
      </w:pPr>
      <w:r w:rsidRPr="00C45496">
        <w:t>increas</w:t>
      </w:r>
      <w:r w:rsidR="00EF7654" w:rsidRPr="00C45496">
        <w:t>ing</w:t>
      </w:r>
      <w:r w:rsidRPr="00C45496">
        <w:t xml:space="preserve"> security and monitoring of certain areas of the campus; </w:t>
      </w:r>
      <w:r w:rsidR="00FB2D12" w:rsidRPr="00C45496">
        <w:t>or</w:t>
      </w:r>
    </w:p>
    <w:p w14:paraId="6F11A3A2" w14:textId="7AF3E8E3" w:rsidR="00780F44" w:rsidRPr="00C45496" w:rsidRDefault="00780F44" w:rsidP="00D26E09">
      <w:pPr>
        <w:pStyle w:val="list-level1"/>
        <w:numPr>
          <w:ilvl w:val="0"/>
          <w:numId w:val="38"/>
        </w:numPr>
      </w:pPr>
      <w:r w:rsidRPr="00C45496">
        <w:t xml:space="preserve">other similar measures designed to help a </w:t>
      </w:r>
      <w:r w:rsidR="00927776" w:rsidRPr="00C45496">
        <w:t>student</w:t>
      </w:r>
      <w:r w:rsidR="00AC3BF8" w:rsidRPr="00C45496">
        <w:t xml:space="preserve"> </w:t>
      </w:r>
      <w:r w:rsidRPr="00C45496">
        <w:t xml:space="preserve">stay in school and on track academically, protect the safety of </w:t>
      </w:r>
      <w:r w:rsidR="00927776" w:rsidRPr="00C45496">
        <w:t>a student</w:t>
      </w:r>
      <w:r w:rsidRPr="00C45496">
        <w:t>, or deter sex</w:t>
      </w:r>
      <w:r w:rsidR="00EF7654" w:rsidRPr="00C45496">
        <w:t>ual</w:t>
      </w:r>
      <w:r w:rsidRPr="00C45496">
        <w:t xml:space="preserve"> harassment.</w:t>
      </w:r>
    </w:p>
    <w:p w14:paraId="572FF7EE" w14:textId="5D109A41" w:rsidR="00D26E09" w:rsidRPr="00C45496" w:rsidRDefault="00694551" w:rsidP="00D26E09">
      <w:pPr>
        <w:pStyle w:val="list-level1"/>
        <w:numPr>
          <w:ilvl w:val="0"/>
          <w:numId w:val="38"/>
        </w:numPr>
      </w:pPr>
      <w:r w:rsidRPr="00C45496">
        <w:t xml:space="preserve">Contacting the student’s </w:t>
      </w:r>
      <w:r w:rsidR="00891C13" w:rsidRPr="00C45496">
        <w:t>home district</w:t>
      </w:r>
      <w:r w:rsidR="00513BBF" w:rsidRPr="00C45496">
        <w:t>.</w:t>
      </w:r>
    </w:p>
    <w:p w14:paraId="513E3C8D" w14:textId="77777777" w:rsidR="00780F44" w:rsidRPr="00C45496" w:rsidRDefault="00780F44" w:rsidP="00780F44">
      <w:pPr>
        <w:pStyle w:val="margin3"/>
        <w:framePr w:wrap="around"/>
      </w:pPr>
      <w:r w:rsidRPr="00C45496">
        <w:t>Emergency Removal</w:t>
      </w:r>
    </w:p>
    <w:p w14:paraId="794068E1" w14:textId="3659A26D" w:rsidR="00555425" w:rsidRPr="00C45496" w:rsidRDefault="00914D5B" w:rsidP="00780F44">
      <w:pPr>
        <w:pStyle w:val="local1"/>
      </w:pPr>
      <w:r w:rsidRPr="00C45496">
        <w:t xml:space="preserve">In </w:t>
      </w:r>
      <w:r w:rsidR="00232D06" w:rsidRPr="00C45496">
        <w:t>accordance with law</w:t>
      </w:r>
      <w:r w:rsidRPr="00C45496">
        <w:t xml:space="preserve">, </w:t>
      </w:r>
      <w:r w:rsidR="00694551" w:rsidRPr="00C45496">
        <w:t>TSBVI</w:t>
      </w:r>
      <w:r w:rsidR="00780F44" w:rsidRPr="00C45496">
        <w:t xml:space="preserve"> </w:t>
      </w:r>
      <w:r w:rsidR="00232D06" w:rsidRPr="00C45496">
        <w:t>has the right to</w:t>
      </w:r>
      <w:r w:rsidR="00555425" w:rsidRPr="00C45496">
        <w:t xml:space="preserve"> </w:t>
      </w:r>
      <w:r w:rsidR="00780F44" w:rsidRPr="00C45496">
        <w:t xml:space="preserve">remove </w:t>
      </w:r>
      <w:r w:rsidR="00232D06" w:rsidRPr="00C45496">
        <w:t>a</w:t>
      </w:r>
      <w:r w:rsidR="00780F44" w:rsidRPr="00C45496">
        <w:t xml:space="preserve"> </w:t>
      </w:r>
      <w:r w:rsidR="00927776" w:rsidRPr="00C45496">
        <w:t xml:space="preserve">student </w:t>
      </w:r>
      <w:r w:rsidR="00780F44" w:rsidRPr="00C45496">
        <w:t xml:space="preserve">respondent from </w:t>
      </w:r>
      <w:r w:rsidR="00694551" w:rsidRPr="00C45496">
        <w:t>TSBVI’s</w:t>
      </w:r>
      <w:r w:rsidR="00780F44" w:rsidRPr="00C45496">
        <w:t xml:space="preserve"> education program or activity </w:t>
      </w:r>
      <w:r w:rsidR="00232D06" w:rsidRPr="00C45496">
        <w:t>when</w:t>
      </w:r>
      <w:r w:rsidR="00D26E09" w:rsidRPr="00C45496">
        <w:t xml:space="preserve"> </w:t>
      </w:r>
      <w:r w:rsidR="00694551" w:rsidRPr="00C45496">
        <w:t xml:space="preserve">TSBVI </w:t>
      </w:r>
      <w:r w:rsidR="005C777D" w:rsidRPr="00C45496">
        <w:t xml:space="preserve">determines, based on </w:t>
      </w:r>
      <w:r w:rsidR="00780F44" w:rsidRPr="00C45496">
        <w:t>an individualized safety and risk analysis</w:t>
      </w:r>
      <w:r w:rsidR="005C777D" w:rsidRPr="00C45496">
        <w:t>,</w:t>
      </w:r>
      <w:r w:rsidR="00780F44" w:rsidRPr="00C45496">
        <w:t xml:space="preserve"> that removal is justified due to an immediate threat to the physical health or safety of any student or other individual</w:t>
      </w:r>
      <w:r w:rsidR="00852EA0" w:rsidRPr="00C45496">
        <w:t>, including either of the parties in a formal complaint,</w:t>
      </w:r>
      <w:r w:rsidR="00780F44" w:rsidRPr="00C45496">
        <w:t xml:space="preserve"> arising from the allegations of </w:t>
      </w:r>
      <w:r w:rsidR="004A2FAC" w:rsidRPr="00C45496">
        <w:t>sexual</w:t>
      </w:r>
      <w:r w:rsidR="00780F44" w:rsidRPr="00C45496">
        <w:t xml:space="preserve"> harassment</w:t>
      </w:r>
      <w:r w:rsidR="00694551" w:rsidRPr="00C45496">
        <w:t xml:space="preserve">. TSBVI </w:t>
      </w:r>
      <w:r w:rsidR="005C777D" w:rsidRPr="00C45496">
        <w:t xml:space="preserve">shall provide </w:t>
      </w:r>
      <w:r w:rsidR="009D6812" w:rsidRPr="00C45496">
        <w:t xml:space="preserve">notice </w:t>
      </w:r>
      <w:r w:rsidR="00770B7C" w:rsidRPr="00C45496">
        <w:t xml:space="preserve">of removal </w:t>
      </w:r>
      <w:r w:rsidR="009D6812" w:rsidRPr="00C45496">
        <w:t>to the respondent</w:t>
      </w:r>
      <w:r w:rsidR="00780F44" w:rsidRPr="00C45496">
        <w:t xml:space="preserve">. </w:t>
      </w:r>
      <w:r w:rsidR="00555425" w:rsidRPr="00C45496">
        <w:t xml:space="preserve">The removal may </w:t>
      </w:r>
      <w:r w:rsidR="00232D06" w:rsidRPr="00C45496">
        <w:t>continue</w:t>
      </w:r>
      <w:r w:rsidR="00555425" w:rsidRPr="00C45496">
        <w:t xml:space="preserve"> for the duration of an ongoing threat.</w:t>
      </w:r>
      <w:r w:rsidR="003B2D30" w:rsidRPr="00C45496">
        <w:t xml:space="preserve"> [See FFB]</w:t>
      </w:r>
    </w:p>
    <w:p w14:paraId="0160B887" w14:textId="73A66159" w:rsidR="00694551" w:rsidRPr="00C45496" w:rsidRDefault="00555425" w:rsidP="00D26E09">
      <w:pPr>
        <w:pStyle w:val="local1"/>
      </w:pPr>
      <w:r w:rsidRPr="00C45496">
        <w:t xml:space="preserve">Removal under this provision must comply with all due process requirements under law and policy, including </w:t>
      </w:r>
      <w:r w:rsidR="001759C7" w:rsidRPr="00C45496">
        <w:t>the Individuals with Disabilities Education Act (IDEA)</w:t>
      </w:r>
      <w:r w:rsidRPr="00C45496">
        <w:t xml:space="preserve"> </w:t>
      </w:r>
      <w:r w:rsidR="001759C7" w:rsidRPr="00C45496">
        <w:t xml:space="preserve">and </w:t>
      </w:r>
      <w:r w:rsidRPr="00C45496">
        <w:t xml:space="preserve">Section 504. </w:t>
      </w:r>
    </w:p>
    <w:p w14:paraId="6D1C2751" w14:textId="66C0680B" w:rsidR="00555425" w:rsidRPr="00C45496" w:rsidRDefault="00555425" w:rsidP="006E2500">
      <w:pPr>
        <w:pStyle w:val="margin4"/>
        <w:framePr w:wrap="around"/>
      </w:pPr>
      <w:r w:rsidRPr="00C45496">
        <w:t>Post-Removal Challenge</w:t>
      </w:r>
    </w:p>
    <w:p w14:paraId="5BA5DB4A" w14:textId="40045B22" w:rsidR="00780F44" w:rsidRPr="00C45496" w:rsidRDefault="00780F44">
      <w:pPr>
        <w:pStyle w:val="local1"/>
      </w:pPr>
      <w:r w:rsidRPr="00C45496">
        <w:lastRenderedPageBreak/>
        <w:t>Immediately following the</w:t>
      </w:r>
      <w:r w:rsidR="00555425" w:rsidRPr="00C45496">
        <w:t xml:space="preserve"> emergency</w:t>
      </w:r>
      <w:r w:rsidRPr="00C45496">
        <w:t xml:space="preserve"> removal, </w:t>
      </w:r>
      <w:r w:rsidR="00694551" w:rsidRPr="00C45496">
        <w:t xml:space="preserve">TSBVI </w:t>
      </w:r>
      <w:r w:rsidR="00232D06" w:rsidRPr="00C45496">
        <w:t xml:space="preserve">shall </w:t>
      </w:r>
      <w:r w:rsidRPr="00C45496">
        <w:t xml:space="preserve">provide the respondent with an opportunity to challenge the decision </w:t>
      </w:r>
      <w:r w:rsidR="00232D06" w:rsidRPr="00C45496">
        <w:t xml:space="preserve">in accordance with the applicable board policy or </w:t>
      </w:r>
      <w:r w:rsidR="00BA0DF5" w:rsidRPr="00C45496">
        <w:t>the S</w:t>
      </w:r>
      <w:r w:rsidR="00232D06" w:rsidRPr="00C45496">
        <w:t xml:space="preserve">tudent </w:t>
      </w:r>
      <w:r w:rsidR="00BA0DF5" w:rsidRPr="00C45496">
        <w:t>C</w:t>
      </w:r>
      <w:r w:rsidR="00232D06" w:rsidRPr="00C45496">
        <w:t xml:space="preserve">ode of </w:t>
      </w:r>
      <w:r w:rsidR="00BA0DF5" w:rsidRPr="00C45496">
        <w:t>C</w:t>
      </w:r>
      <w:r w:rsidR="00232D06" w:rsidRPr="00C45496">
        <w:t>onduct.</w:t>
      </w:r>
      <w:r w:rsidR="00770B7C" w:rsidRPr="00C45496">
        <w:t xml:space="preserve"> [See FO</w:t>
      </w:r>
      <w:r w:rsidR="00F51588" w:rsidRPr="00C45496">
        <w:t xml:space="preserve"> series]</w:t>
      </w:r>
    </w:p>
    <w:p w14:paraId="364F29A9" w14:textId="6CCE110D" w:rsidR="00E54C68" w:rsidRPr="00C45496" w:rsidRDefault="00E54C68" w:rsidP="00E54C68">
      <w:pPr>
        <w:pStyle w:val="margin3"/>
        <w:framePr w:wrap="around"/>
      </w:pPr>
      <w:r w:rsidRPr="00C45496">
        <w:t>Administrative Leave</w:t>
      </w:r>
    </w:p>
    <w:p w14:paraId="38710C85" w14:textId="5E3BC768" w:rsidR="00044C57" w:rsidRPr="00C45496" w:rsidRDefault="00044C57" w:rsidP="00044C57">
      <w:pPr>
        <w:pStyle w:val="local1"/>
      </w:pPr>
      <w:r w:rsidRPr="00C45496">
        <w:t>Title IX and t</w:t>
      </w:r>
      <w:r w:rsidR="00F57E7A" w:rsidRPr="00C45496">
        <w:t>hese procedures do not restrict TSBVI</w:t>
      </w:r>
      <w:r w:rsidRPr="00C45496">
        <w:t xml:space="preserve">’s right to place an employee respondent on administrative leave pending an investigation. </w:t>
      </w:r>
    </w:p>
    <w:p w14:paraId="017CCA7E" w14:textId="77777777" w:rsidR="00EB602A" w:rsidRPr="00C45496" w:rsidRDefault="00EB602A" w:rsidP="00EB602A">
      <w:pPr>
        <w:pStyle w:val="margin1"/>
        <w:framePr w:wrap="around"/>
      </w:pPr>
      <w:r w:rsidRPr="00C45496">
        <w:t xml:space="preserve">No Bias or Conflict of Interest </w:t>
      </w:r>
    </w:p>
    <w:p w14:paraId="2523C272" w14:textId="6DE0FC85" w:rsidR="00EB602A" w:rsidRPr="00C45496" w:rsidRDefault="00EB602A" w:rsidP="00EB602A">
      <w:pPr>
        <w:pStyle w:val="list-level1"/>
        <w:numPr>
          <w:ilvl w:val="0"/>
          <w:numId w:val="0"/>
        </w:numPr>
      </w:pPr>
      <w:r w:rsidRPr="00C45496">
        <w:t>All Title IX personnel must serve impartially</w:t>
      </w:r>
      <w:r w:rsidR="00BA0DF5" w:rsidRPr="00C45496">
        <w:t xml:space="preserve"> and</w:t>
      </w:r>
      <w:r w:rsidRPr="00C45496">
        <w:t xml:space="preserve"> free from conflicts of interest or bias against the individual complainant and respondent involved in a formal complaint or against complainants and respondents generally. </w:t>
      </w:r>
    </w:p>
    <w:p w14:paraId="4A4FCC9E" w14:textId="4E44E4A6" w:rsidR="00EB602A" w:rsidRPr="00C45496" w:rsidRDefault="00EB602A" w:rsidP="00EB602A">
      <w:pPr>
        <w:pStyle w:val="list-level1"/>
        <w:numPr>
          <w:ilvl w:val="0"/>
          <w:numId w:val="0"/>
        </w:numPr>
      </w:pPr>
      <w:r w:rsidRPr="00C45496">
        <w:t xml:space="preserve">For the purpose of </w:t>
      </w:r>
      <w:r w:rsidR="00F57E7A" w:rsidRPr="00C45496">
        <w:t xml:space="preserve">TSBVI’s </w:t>
      </w:r>
      <w:r w:rsidRPr="00C45496">
        <w:t>response to allegations of sexual harassment, including the formal complaint process, bias includes</w:t>
      </w:r>
      <w:r w:rsidR="001759C7" w:rsidRPr="00C45496">
        <w:t xml:space="preserve"> but is not limited to</w:t>
      </w:r>
      <w:r w:rsidRPr="00C45496">
        <w:t xml:space="preserve"> bias against an individual’s sex, race, ethnicity, sexual orientation, gender identity, disability or immigration status, </w:t>
      </w:r>
      <w:r w:rsidR="001759C7" w:rsidRPr="00C45496">
        <w:t xml:space="preserve">or </w:t>
      </w:r>
      <w:r w:rsidRPr="00C45496">
        <w:t>financial ability.</w:t>
      </w:r>
    </w:p>
    <w:p w14:paraId="31AB5C26" w14:textId="4276C208" w:rsidR="00EB602A" w:rsidRPr="00C45496" w:rsidRDefault="00EB602A" w:rsidP="00EB602A">
      <w:pPr>
        <w:pStyle w:val="margin1"/>
        <w:framePr w:wrap="around"/>
      </w:pPr>
      <w:r w:rsidRPr="00C45496">
        <w:t xml:space="preserve">Presumption of </w:t>
      </w:r>
      <w:proofErr w:type="spellStart"/>
      <w:r w:rsidRPr="00C45496">
        <w:t>Nonresponsibility</w:t>
      </w:r>
      <w:proofErr w:type="spellEnd"/>
    </w:p>
    <w:p w14:paraId="771CE749" w14:textId="23EFEEBD" w:rsidR="00BA0DF5" w:rsidRPr="00C45496" w:rsidRDefault="00EB602A" w:rsidP="0010761B">
      <w:pPr>
        <w:pStyle w:val="list-level1"/>
        <w:numPr>
          <w:ilvl w:val="0"/>
          <w:numId w:val="0"/>
        </w:numPr>
      </w:pPr>
      <w:r w:rsidRPr="00C45496">
        <w:t xml:space="preserve">All </w:t>
      </w:r>
      <w:r w:rsidR="00F57E7A" w:rsidRPr="00C45496">
        <w:t>TSBVI</w:t>
      </w:r>
      <w:r w:rsidRPr="00C45496">
        <w:t xml:space="preserve"> actions must presume that the respondent is not responsible for the alleged conduct until after a final determination in a formal complaint process. In a formal complaint process, a respondent may face Title IX disciplinary sanctions for sexual harassment only after a fair process determines responsibility. However, even if a Title IX formal complaint is not filed or signed, </w:t>
      </w:r>
      <w:r w:rsidR="00F57E7A" w:rsidRPr="00C45496">
        <w:t xml:space="preserve">TSBVI </w:t>
      </w:r>
      <w:r w:rsidRPr="00C45496">
        <w:t xml:space="preserve">may investigate and respond to prohibited conduct in accordance with board policies and the Student Code of Conduct. </w:t>
      </w:r>
    </w:p>
    <w:p w14:paraId="74630B3E" w14:textId="77777777" w:rsidR="00BA0DF5" w:rsidRPr="00C45496" w:rsidRDefault="00BA0DF5" w:rsidP="00BA0DF5">
      <w:pPr>
        <w:pStyle w:val="margin1"/>
        <w:framePr w:wrap="around" w:x="1506" w:y="99"/>
      </w:pPr>
      <w:r w:rsidRPr="00C45496">
        <w:t>Formal Complaints</w:t>
      </w:r>
    </w:p>
    <w:p w14:paraId="6AF6BFAC" w14:textId="76DD052A" w:rsidR="00640CCF" w:rsidRPr="00C45496" w:rsidRDefault="00780F44" w:rsidP="00640CCF">
      <w:pPr>
        <w:pStyle w:val="local1"/>
      </w:pPr>
      <w:r w:rsidRPr="00C45496">
        <w:t xml:space="preserve">A </w:t>
      </w:r>
      <w:r w:rsidR="00AC1642" w:rsidRPr="00C45496">
        <w:t>formal complaint may be filed</w:t>
      </w:r>
      <w:r w:rsidRPr="00C45496">
        <w:t xml:space="preserve"> with </w:t>
      </w:r>
      <w:r w:rsidR="00F57E7A" w:rsidRPr="00C45496">
        <w:t xml:space="preserve">TSBVI’s </w:t>
      </w:r>
      <w:r w:rsidRPr="00C45496">
        <w:t>Title IX Coordinator</w:t>
      </w:r>
      <w:r w:rsidR="00F57E7A" w:rsidRPr="00C45496">
        <w:t xml:space="preserve"> by using a form provided by TSBVI </w:t>
      </w:r>
      <w:r w:rsidR="00AC1642" w:rsidRPr="00C45496">
        <w:t xml:space="preserve">or </w:t>
      </w:r>
      <w:r w:rsidR="004276E3" w:rsidRPr="00C45496">
        <w:t>in accordance with requirements of FFH(</w:t>
      </w:r>
      <w:r w:rsidR="00F57E7A" w:rsidRPr="00C45496">
        <w:t>TSBVI</w:t>
      </w:r>
      <w:r w:rsidR="004276E3" w:rsidRPr="00C45496">
        <w:t>) at Definitions</w:t>
      </w:r>
      <w:r w:rsidR="00EF7654" w:rsidRPr="00C45496">
        <w:t>, Formal Complaint</w:t>
      </w:r>
      <w:r w:rsidRPr="00C45496">
        <w:t xml:space="preserve">. </w:t>
      </w:r>
      <w:r w:rsidR="00640CCF" w:rsidRPr="00C45496">
        <w:t xml:space="preserve">If the Title IX Coordinator determines that the law requires </w:t>
      </w:r>
      <w:r w:rsidR="00F57E7A" w:rsidRPr="00C45496">
        <w:t xml:space="preserve">TSBVI </w:t>
      </w:r>
      <w:r w:rsidR="00640CCF" w:rsidRPr="00C45496">
        <w:t xml:space="preserve">to initiate an investigation under a formal complaint process, the Coordinator may, without consent of a complainant, sign a written complaint to initiate the process. A complainant is not required to participate </w:t>
      </w:r>
      <w:r w:rsidR="00513BBF" w:rsidRPr="00C45496">
        <w:t xml:space="preserve">in the formal complaint signed by a Coordinator </w:t>
      </w:r>
      <w:r w:rsidR="00640CCF" w:rsidRPr="00C45496">
        <w:t>but will retain all the rights of a complainant in the process.</w:t>
      </w:r>
    </w:p>
    <w:p w14:paraId="633C6EB1" w14:textId="7D669DB5" w:rsidR="00513BBF" w:rsidRPr="00C45496" w:rsidRDefault="00513BBF" w:rsidP="00513BBF">
      <w:pPr>
        <w:pStyle w:val="local1"/>
      </w:pPr>
      <w:r w:rsidRPr="00C45496">
        <w:t xml:space="preserve">Copies of any documents that support the complaint should be attached to the complaint. </w:t>
      </w:r>
    </w:p>
    <w:p w14:paraId="64BD1C11" w14:textId="6630E50E" w:rsidR="001F1B1C" w:rsidRPr="00C45496" w:rsidRDefault="001F1B1C" w:rsidP="00513BBF">
      <w:pPr>
        <w:pStyle w:val="local1"/>
      </w:pPr>
      <w:r w:rsidRPr="00C45496">
        <w:t>In accordance with law and policy, the Title IX Coordinator will coordinate the assignment of duties to ensure that all obligations under Title IX are comp</w:t>
      </w:r>
      <w:r w:rsidR="00FB2D12" w:rsidRPr="00C45496">
        <w:t>l</w:t>
      </w:r>
      <w:r w:rsidRPr="00C45496">
        <w:t xml:space="preserve">eted in a timely manner. </w:t>
      </w:r>
    </w:p>
    <w:p w14:paraId="2E22AFF4" w14:textId="5F496D8A" w:rsidR="00AC3BF8" w:rsidRPr="00C45496" w:rsidRDefault="00E77292" w:rsidP="00EB602A">
      <w:pPr>
        <w:pStyle w:val="margin2"/>
        <w:framePr w:wrap="around"/>
      </w:pPr>
      <w:r w:rsidRPr="00C45496">
        <w:t>Time Frame for</w:t>
      </w:r>
      <w:r w:rsidR="00AC3BF8" w:rsidRPr="00C45496">
        <w:t xml:space="preserve"> Formal Complaint Process</w:t>
      </w:r>
    </w:p>
    <w:p w14:paraId="03C4EE33" w14:textId="5FFD83D1" w:rsidR="00AC3BF8" w:rsidRPr="00C45496" w:rsidRDefault="00AC3BF8" w:rsidP="00AC3BF8">
      <w:pPr>
        <w:pStyle w:val="list-level1"/>
        <w:numPr>
          <w:ilvl w:val="0"/>
          <w:numId w:val="0"/>
        </w:numPr>
      </w:pPr>
      <w:r w:rsidRPr="00C45496">
        <w:t>Absent good cause</w:t>
      </w:r>
      <w:r w:rsidR="005C777D" w:rsidRPr="00C45496">
        <w:t xml:space="preserve"> for </w:t>
      </w:r>
      <w:r w:rsidR="000E39B4" w:rsidRPr="00C45496">
        <w:t xml:space="preserve">TSBVI </w:t>
      </w:r>
      <w:r w:rsidR="005C777D" w:rsidRPr="00C45496">
        <w:t>to delay an investigation</w:t>
      </w:r>
      <w:r w:rsidRPr="00C45496">
        <w:t>, the Title IX formal complaint process beginning with filing or signing of the formal complaint and ending with the determination of responsibility should be completed within</w:t>
      </w:r>
      <w:r w:rsidR="00C41FC1" w:rsidRPr="00C45496">
        <w:t xml:space="preserve"> 60 days.</w:t>
      </w:r>
      <w:r w:rsidRPr="00C45496">
        <w:t xml:space="preserve"> Days used for </w:t>
      </w:r>
      <w:r w:rsidR="005C777D" w:rsidRPr="00C45496">
        <w:t>any voluntary</w:t>
      </w:r>
      <w:r w:rsidRPr="00C45496">
        <w:t xml:space="preserve"> </w:t>
      </w:r>
      <w:r w:rsidRPr="00C45496">
        <w:lastRenderedPageBreak/>
        <w:t xml:space="preserve">informal resolution process </w:t>
      </w:r>
      <w:r w:rsidR="005C777D" w:rsidRPr="00C45496">
        <w:t>do</w:t>
      </w:r>
      <w:r w:rsidRPr="00C45496">
        <w:t xml:space="preserve"> not count towards the time frame for concluding the formal complaint process. </w:t>
      </w:r>
    </w:p>
    <w:p w14:paraId="6142041F" w14:textId="6C8D5667" w:rsidR="007C78F9" w:rsidRPr="00C45496" w:rsidRDefault="00231E87" w:rsidP="00EB0E03">
      <w:pPr>
        <w:pStyle w:val="margin2"/>
        <w:framePr w:wrap="around"/>
      </w:pPr>
      <w:r w:rsidRPr="00C45496">
        <w:t>Modifying Time Frames</w:t>
      </w:r>
    </w:p>
    <w:p w14:paraId="1F511B25" w14:textId="7F1B6A97" w:rsidR="007C78F9" w:rsidRPr="00C45496" w:rsidDel="004C007A" w:rsidRDefault="007C78F9" w:rsidP="007C78F9">
      <w:pPr>
        <w:pStyle w:val="local1"/>
      </w:pPr>
      <w:r w:rsidRPr="00C45496" w:rsidDel="004C007A">
        <w:t>In calculating timelines under this regulation, the day a document is filed is “day zero”</w:t>
      </w:r>
      <w:r w:rsidR="00513BBF" w:rsidRPr="00C45496">
        <w:t xml:space="preserve"> and t</w:t>
      </w:r>
      <w:r w:rsidRPr="00C45496" w:rsidDel="004C007A">
        <w:t xml:space="preserve">he </w:t>
      </w:r>
      <w:r w:rsidR="001F1B1C" w:rsidRPr="00C45496">
        <w:t>next</w:t>
      </w:r>
      <w:r w:rsidR="001F1B1C" w:rsidRPr="00C45496" w:rsidDel="004C007A">
        <w:t xml:space="preserve"> </w:t>
      </w:r>
      <w:r w:rsidR="00C41FC1" w:rsidRPr="00C45496">
        <w:t>TSBVI</w:t>
      </w:r>
      <w:r w:rsidRPr="00C45496" w:rsidDel="004C007A">
        <w:t xml:space="preserve"> business day is “day one.” </w:t>
      </w:r>
    </w:p>
    <w:p w14:paraId="058B21C7" w14:textId="50E58507" w:rsidR="007C78F9" w:rsidRPr="00C45496" w:rsidRDefault="007C78F9" w:rsidP="007C78F9">
      <w:pPr>
        <w:pStyle w:val="local1"/>
      </w:pPr>
      <w:r w:rsidRPr="00C45496">
        <w:t>All time limits shall be strictly followed unless modified by</w:t>
      </w:r>
      <w:r w:rsidR="00174999" w:rsidRPr="00C45496">
        <w:t xml:space="preserve"> the parties’</w:t>
      </w:r>
      <w:r w:rsidRPr="00C45496">
        <w:t xml:space="preserve"> mutual written consent or extended by </w:t>
      </w:r>
      <w:r w:rsidR="00C41FC1" w:rsidRPr="00C45496">
        <w:t xml:space="preserve">TSBVI </w:t>
      </w:r>
      <w:r w:rsidRPr="00C45496">
        <w:t xml:space="preserve">for good cause. If </w:t>
      </w:r>
      <w:r w:rsidR="00C41FC1" w:rsidRPr="00C45496">
        <w:t xml:space="preserve">TSBVI </w:t>
      </w:r>
      <w:r w:rsidR="00174999" w:rsidRPr="00C45496">
        <w:t xml:space="preserve">grants </w:t>
      </w:r>
      <w:r w:rsidRPr="00C45496">
        <w:t xml:space="preserve">an extension </w:t>
      </w:r>
      <w:r w:rsidR="00174999" w:rsidRPr="00C45496">
        <w:t>of time</w:t>
      </w:r>
      <w:r w:rsidRPr="00C45496">
        <w:t xml:space="preserve"> for one party, the same time </w:t>
      </w:r>
      <w:r w:rsidR="00174999" w:rsidRPr="00C45496">
        <w:t xml:space="preserve">extension </w:t>
      </w:r>
      <w:r w:rsidRPr="00C45496">
        <w:t xml:space="preserve">must also be granted to the other party. </w:t>
      </w:r>
    </w:p>
    <w:p w14:paraId="79819668" w14:textId="3F095DB7" w:rsidR="007C78F9" w:rsidRPr="00C45496" w:rsidRDefault="007C78F9" w:rsidP="007C78F9">
      <w:pPr>
        <w:pStyle w:val="list-level1"/>
        <w:numPr>
          <w:ilvl w:val="0"/>
          <w:numId w:val="0"/>
        </w:numPr>
      </w:pPr>
      <w:r w:rsidRPr="00C45496">
        <w:t xml:space="preserve">If </w:t>
      </w:r>
      <w:r w:rsidR="00C41FC1" w:rsidRPr="00C45496">
        <w:t xml:space="preserve">TSBVI </w:t>
      </w:r>
      <w:r w:rsidRPr="00C45496">
        <w:t xml:space="preserve">temporarily delays or extends timelines associated with the formal complaint process, the </w:t>
      </w:r>
      <w:r w:rsidR="00AC3BF8" w:rsidRPr="00C45496">
        <w:t xml:space="preserve">Title IX Coordinator </w:t>
      </w:r>
      <w:r w:rsidRPr="00C45496">
        <w:t>shall provide a written explanation to the parties of the good cause basis for the delay or extension. Permissible modifications to timelines include the absence of a party, a party’s advisor, or a witness; concurrent law enforcement activity; the need for language assistance or accommodation of disabilities; or other good cause</w:t>
      </w:r>
      <w:r w:rsidR="00EF7654" w:rsidRPr="00C45496">
        <w:t xml:space="preserve"> as determined by the Title IX Coordinator</w:t>
      </w:r>
      <w:r w:rsidRPr="00C45496">
        <w:t>.</w:t>
      </w:r>
    </w:p>
    <w:p w14:paraId="67D7F94B" w14:textId="67A741D9" w:rsidR="00EF7654" w:rsidRPr="00C45496" w:rsidRDefault="00C41FC1" w:rsidP="006F06F2">
      <w:pPr>
        <w:pStyle w:val="local1"/>
      </w:pPr>
      <w:r w:rsidRPr="00C45496">
        <w:t xml:space="preserve">TSBVI </w:t>
      </w:r>
      <w:r w:rsidR="006F06F2" w:rsidRPr="00C45496">
        <w:t>shall make reasonable attempts to schedule meetings at a time mutually agreeable to all parties. However, e</w:t>
      </w:r>
      <w:r w:rsidR="00EF7654" w:rsidRPr="00C45496">
        <w:t xml:space="preserve">xtensions should not unnecessarily extend the </w:t>
      </w:r>
      <w:r w:rsidR="00EB0E03" w:rsidRPr="00C45496">
        <w:t>timeline established below for concluding the formal complaint process.</w:t>
      </w:r>
    </w:p>
    <w:p w14:paraId="7D392702" w14:textId="77777777" w:rsidR="00780F44" w:rsidRPr="00C45496" w:rsidRDefault="00780F44" w:rsidP="00EB602A">
      <w:pPr>
        <w:pStyle w:val="margin2"/>
        <w:framePr w:wrap="around"/>
      </w:pPr>
      <w:r w:rsidRPr="00C45496">
        <w:t>Notice of Allegations</w:t>
      </w:r>
    </w:p>
    <w:p w14:paraId="149A85DE" w14:textId="436D89A8" w:rsidR="00780F44" w:rsidRPr="00C45496" w:rsidRDefault="007F530E" w:rsidP="00780F44">
      <w:pPr>
        <w:pStyle w:val="local1"/>
      </w:pPr>
      <w:r w:rsidRPr="00C45496">
        <w:t>Upon receipt of a formal complaint, t</w:t>
      </w:r>
      <w:r w:rsidR="00780F44" w:rsidRPr="00C45496">
        <w:t>he Title IX Coordinator will provide written notice to the complainant and respondent</w:t>
      </w:r>
      <w:r w:rsidRPr="00C45496">
        <w:t xml:space="preserve"> about the allegations of sex</w:t>
      </w:r>
      <w:r w:rsidR="00EB0E03" w:rsidRPr="00C45496">
        <w:t>ual</w:t>
      </w:r>
      <w:r w:rsidRPr="00C45496">
        <w:t xml:space="preserve"> harassment</w:t>
      </w:r>
      <w:r w:rsidR="00780F44" w:rsidRPr="00C45496">
        <w:t xml:space="preserve"> and allow sufficient time for the parties to prepare a response before any initial interview with the </w:t>
      </w:r>
      <w:r w:rsidR="00EB0E03" w:rsidRPr="00C45496">
        <w:t xml:space="preserve">assigned </w:t>
      </w:r>
      <w:r w:rsidR="00780F44" w:rsidRPr="00C45496">
        <w:t>investigator. Th</w:t>
      </w:r>
      <w:r w:rsidR="008C0968" w:rsidRPr="00C45496">
        <w:t>is</w:t>
      </w:r>
      <w:r w:rsidR="00780F44" w:rsidRPr="00C45496">
        <w:t xml:space="preserve"> notice must contain the following:</w:t>
      </w:r>
    </w:p>
    <w:p w14:paraId="4D653C46" w14:textId="5887D184" w:rsidR="00780F44" w:rsidRPr="00C45496" w:rsidRDefault="00780F44" w:rsidP="00780F44">
      <w:pPr>
        <w:pStyle w:val="local1"/>
        <w:numPr>
          <w:ilvl w:val="0"/>
          <w:numId w:val="32"/>
        </w:numPr>
      </w:pPr>
      <w:r w:rsidRPr="00C45496">
        <w:t xml:space="preserve">Allegations of potential </w:t>
      </w:r>
      <w:r w:rsidR="00491006" w:rsidRPr="00C45496">
        <w:t>sexual</w:t>
      </w:r>
      <w:r w:rsidRPr="00C45496">
        <w:t xml:space="preserve"> harassment as defined by law, including sufficient details known at the time such as identity of parties, alleged conduct, and date</w:t>
      </w:r>
      <w:r w:rsidR="00AC3BF8" w:rsidRPr="00C45496">
        <w:t>(s)</w:t>
      </w:r>
      <w:r w:rsidRPr="00C45496">
        <w:t xml:space="preserve"> and location</w:t>
      </w:r>
      <w:r w:rsidR="00AC3BF8" w:rsidRPr="00C45496">
        <w:t>(s)</w:t>
      </w:r>
      <w:r w:rsidRPr="00C45496">
        <w:t xml:space="preserve"> of alleged incident</w:t>
      </w:r>
      <w:r w:rsidR="003D2C44" w:rsidRPr="00C45496">
        <w:t>(s)</w:t>
      </w:r>
      <w:r w:rsidRPr="00C45496">
        <w:t>;</w:t>
      </w:r>
    </w:p>
    <w:p w14:paraId="3FC632DB" w14:textId="23B0578D" w:rsidR="00780F44" w:rsidRPr="00C45496" w:rsidRDefault="00C41FC1" w:rsidP="00780F44">
      <w:pPr>
        <w:pStyle w:val="local1"/>
        <w:numPr>
          <w:ilvl w:val="0"/>
          <w:numId w:val="32"/>
        </w:numPr>
      </w:pPr>
      <w:r w:rsidRPr="00C45496">
        <w:t>A statement that TSBVI</w:t>
      </w:r>
      <w:r w:rsidR="00AC3BF8" w:rsidRPr="00C45496">
        <w:t xml:space="preserve">, by law, must presume that the </w:t>
      </w:r>
      <w:r w:rsidR="00780F44" w:rsidRPr="00C45496">
        <w:t>respondent is not responsible for the alleged conduct and that a determination regarding responsibility will be made at the conclusion of the formal complaint process;</w:t>
      </w:r>
    </w:p>
    <w:p w14:paraId="3199C4D7" w14:textId="275968E9" w:rsidR="00780F44" w:rsidRPr="00C45496" w:rsidRDefault="00780F44" w:rsidP="00780F44">
      <w:pPr>
        <w:pStyle w:val="local1"/>
        <w:numPr>
          <w:ilvl w:val="0"/>
          <w:numId w:val="32"/>
        </w:numPr>
      </w:pPr>
      <w:r w:rsidRPr="00C45496">
        <w:t xml:space="preserve">Notification that each party may choose an </w:t>
      </w:r>
      <w:bookmarkStart w:id="3" w:name="_GoBack"/>
      <w:r w:rsidRPr="00C45496">
        <w:t>advisor</w:t>
      </w:r>
      <w:bookmarkEnd w:id="3"/>
      <w:r w:rsidRPr="00C45496">
        <w:t xml:space="preserve"> of choice who may be, but is not required to be, an attorney</w:t>
      </w:r>
      <w:r w:rsidR="0045657D">
        <w:t xml:space="preserve"> but who may not be a current TSBVI employee</w:t>
      </w:r>
      <w:r w:rsidRPr="00C45496">
        <w:t>;</w:t>
      </w:r>
    </w:p>
    <w:p w14:paraId="7321384E" w14:textId="678B635D" w:rsidR="00780F44" w:rsidRPr="00C45496" w:rsidRDefault="00780F44" w:rsidP="00780F44">
      <w:pPr>
        <w:pStyle w:val="local1"/>
        <w:numPr>
          <w:ilvl w:val="0"/>
          <w:numId w:val="32"/>
        </w:numPr>
      </w:pPr>
      <w:r w:rsidRPr="00C45496">
        <w:t xml:space="preserve">The right of each party to inspect and review evidence under section 34 C.F.R. </w:t>
      </w:r>
      <w:r w:rsidR="00822A84" w:rsidRPr="00C45496">
        <w:rPr>
          <w:rFonts w:cs="Arial"/>
        </w:rPr>
        <w:t>§</w:t>
      </w:r>
      <w:r w:rsidR="00822A84" w:rsidRPr="00C45496">
        <w:t xml:space="preserve"> </w:t>
      </w:r>
      <w:r w:rsidRPr="00C45496">
        <w:t>106</w:t>
      </w:r>
      <w:r w:rsidR="006D5BDA" w:rsidRPr="00C45496">
        <w:t>.45</w:t>
      </w:r>
      <w:r w:rsidRPr="00C45496">
        <w:t>(b)(5)(vi);</w:t>
      </w:r>
    </w:p>
    <w:p w14:paraId="5C79FE1F" w14:textId="05618B79" w:rsidR="00780F44" w:rsidRPr="00C45496" w:rsidRDefault="00780F44" w:rsidP="00780F44">
      <w:pPr>
        <w:pStyle w:val="local1"/>
        <w:numPr>
          <w:ilvl w:val="0"/>
          <w:numId w:val="32"/>
        </w:numPr>
      </w:pPr>
      <w:r w:rsidRPr="00C45496">
        <w:t>The standard of evidence that will be used</w:t>
      </w:r>
      <w:r w:rsidR="00C41FC1" w:rsidRPr="00C45496">
        <w:t xml:space="preserve"> [see FFH(TSBVI</w:t>
      </w:r>
      <w:r w:rsidR="006D5BDA" w:rsidRPr="00C45496">
        <w:t>)</w:t>
      </w:r>
      <w:r w:rsidR="00231E87" w:rsidRPr="00C45496">
        <w:t>]</w:t>
      </w:r>
      <w:r w:rsidRPr="00C45496">
        <w:t xml:space="preserve">; </w:t>
      </w:r>
    </w:p>
    <w:p w14:paraId="4F16D9C8" w14:textId="5067C7C5" w:rsidR="00780F44" w:rsidRPr="00C45496" w:rsidRDefault="00780F44" w:rsidP="00780F44">
      <w:pPr>
        <w:pStyle w:val="local1"/>
        <w:numPr>
          <w:ilvl w:val="0"/>
          <w:numId w:val="32"/>
        </w:numPr>
      </w:pPr>
      <w:r w:rsidRPr="00C45496">
        <w:lastRenderedPageBreak/>
        <w:t xml:space="preserve">Notification about </w:t>
      </w:r>
      <w:r w:rsidR="00C41FC1" w:rsidRPr="00C45496">
        <w:t xml:space="preserve">TSBVI’s </w:t>
      </w:r>
      <w:r w:rsidRPr="00C45496">
        <w:t xml:space="preserve">Title IX formal complaint process, including procedures for informal resolution and appealing the final determination; and </w:t>
      </w:r>
    </w:p>
    <w:p w14:paraId="3AADA46D" w14:textId="0F84528A" w:rsidR="00780F44" w:rsidRPr="00C45496" w:rsidRDefault="00780F44" w:rsidP="00780F44">
      <w:pPr>
        <w:pStyle w:val="local1"/>
        <w:numPr>
          <w:ilvl w:val="0"/>
          <w:numId w:val="32"/>
        </w:numPr>
      </w:pPr>
      <w:r w:rsidRPr="00C45496">
        <w:t xml:space="preserve">Any provision of </w:t>
      </w:r>
      <w:r w:rsidR="00BA0DF5" w:rsidRPr="00C45496">
        <w:t>a</w:t>
      </w:r>
      <w:r w:rsidRPr="00C45496">
        <w:t xml:space="preserve"> </w:t>
      </w:r>
      <w:r w:rsidR="00C41FC1" w:rsidRPr="00C45496">
        <w:t>TSBVI</w:t>
      </w:r>
      <w:r w:rsidRPr="00C45496">
        <w:t xml:space="preserve"> code of conduct that prohibits knowingly making false statements or knowingly submitting false information during the </w:t>
      </w:r>
      <w:r w:rsidR="008C0968" w:rsidRPr="00C45496">
        <w:t xml:space="preserve">formal complaint </w:t>
      </w:r>
      <w:r w:rsidRPr="00C45496">
        <w:t>process.</w:t>
      </w:r>
    </w:p>
    <w:p w14:paraId="3289AA1D" w14:textId="67568DAA" w:rsidR="00780F44" w:rsidRPr="00C45496" w:rsidRDefault="00780F44" w:rsidP="00780F44">
      <w:pPr>
        <w:pStyle w:val="local1"/>
      </w:pPr>
      <w:r w:rsidRPr="00C45496">
        <w:t xml:space="preserve">The </w:t>
      </w:r>
      <w:r w:rsidR="00EB602A" w:rsidRPr="00C45496">
        <w:t xml:space="preserve">Title IX Coordinator </w:t>
      </w:r>
      <w:r w:rsidRPr="00C45496">
        <w:t>may attach a copy of Policy FFH to the Notice of Allegations.</w:t>
      </w:r>
    </w:p>
    <w:p w14:paraId="76DE83F6" w14:textId="266B8970" w:rsidR="00231E87" w:rsidRPr="00C45496" w:rsidRDefault="00231E87" w:rsidP="00231E87">
      <w:pPr>
        <w:pStyle w:val="margin1"/>
        <w:framePr w:wrap="around"/>
      </w:pPr>
      <w:r w:rsidRPr="00C45496">
        <w:t>Dismissal of Complaint or Allegation</w:t>
      </w:r>
    </w:p>
    <w:p w14:paraId="55DC7552" w14:textId="51D39562" w:rsidR="00231E87" w:rsidRPr="00C45496" w:rsidRDefault="00231E87" w:rsidP="00780F44">
      <w:pPr>
        <w:pStyle w:val="local1"/>
      </w:pPr>
      <w:r w:rsidRPr="00C45496">
        <w:t>Upon dismissal</w:t>
      </w:r>
      <w:r w:rsidR="00A352A1" w:rsidRPr="00C45496">
        <w:t xml:space="preserve"> of a formal complaint or an allegation therein</w:t>
      </w:r>
      <w:r w:rsidRPr="00C45496">
        <w:t xml:space="preserve">, the Coordinator will </w:t>
      </w:r>
      <w:r w:rsidR="008E3711" w:rsidRPr="00C45496">
        <w:t xml:space="preserve">promptly </w:t>
      </w:r>
      <w:r w:rsidRPr="00C45496">
        <w:t xml:space="preserve">provide written notification to both parties. </w:t>
      </w:r>
      <w:r w:rsidR="006D5BDA" w:rsidRPr="00C45496">
        <w:t>Dismissal of an allegation or allegations does not preclude action under another provision of the code of conduct.</w:t>
      </w:r>
    </w:p>
    <w:p w14:paraId="6BE04D17" w14:textId="2DB2987A" w:rsidR="00231E87" w:rsidRPr="00C45496" w:rsidRDefault="00231E87" w:rsidP="00231E87">
      <w:pPr>
        <w:pStyle w:val="margin2"/>
        <w:framePr w:wrap="around"/>
      </w:pPr>
      <w:r w:rsidRPr="00C45496">
        <w:t>Mandatory Dismissal</w:t>
      </w:r>
    </w:p>
    <w:p w14:paraId="20E0E0C5" w14:textId="07A7E4B3" w:rsidR="00780F44" w:rsidRPr="00C45496" w:rsidRDefault="007F662B" w:rsidP="00780F44">
      <w:pPr>
        <w:pStyle w:val="local1"/>
      </w:pPr>
      <w:r w:rsidRPr="00C45496">
        <w:t>A</w:t>
      </w:r>
      <w:r w:rsidR="00780F44" w:rsidRPr="00C45496">
        <w:t xml:space="preserve"> formal complaint</w:t>
      </w:r>
      <w:r w:rsidR="00B04F9E" w:rsidRPr="00C45496">
        <w:t xml:space="preserve"> or allegation</w:t>
      </w:r>
      <w:r w:rsidR="00780F44" w:rsidRPr="00C45496">
        <w:t xml:space="preserve"> </w:t>
      </w:r>
      <w:r w:rsidRPr="00C45496">
        <w:t xml:space="preserve">must be dismissed </w:t>
      </w:r>
      <w:r w:rsidR="00780F44" w:rsidRPr="00C45496">
        <w:t xml:space="preserve">as required by law </w:t>
      </w:r>
      <w:r w:rsidR="006D5BDA" w:rsidRPr="00C45496">
        <w:t>when the allegation(s), if proved</w:t>
      </w:r>
      <w:r w:rsidRPr="00C45496">
        <w:t>:</w:t>
      </w:r>
    </w:p>
    <w:p w14:paraId="2E2B6452" w14:textId="17842D43" w:rsidR="00D513C7" w:rsidRPr="00C45496" w:rsidRDefault="006D5BDA" w:rsidP="00780F44">
      <w:pPr>
        <w:pStyle w:val="local1"/>
        <w:numPr>
          <w:ilvl w:val="0"/>
          <w:numId w:val="31"/>
        </w:numPr>
      </w:pPr>
      <w:r w:rsidRPr="00C45496">
        <w:t>Would</w:t>
      </w:r>
      <w:r w:rsidR="00D513C7" w:rsidRPr="00C45496">
        <w:t xml:space="preserve"> not meet the definition of </w:t>
      </w:r>
      <w:r w:rsidR="00491006" w:rsidRPr="00C45496">
        <w:t xml:space="preserve">sexual </w:t>
      </w:r>
      <w:r w:rsidR="00D513C7" w:rsidRPr="00C45496">
        <w:t>harassment under 34 C</w:t>
      </w:r>
      <w:r w:rsidR="00A352A1" w:rsidRPr="00C45496">
        <w:t>.</w:t>
      </w:r>
      <w:r w:rsidR="00D513C7" w:rsidRPr="00C45496">
        <w:t>F</w:t>
      </w:r>
      <w:r w:rsidR="00A352A1" w:rsidRPr="00C45496">
        <w:t>.</w:t>
      </w:r>
      <w:r w:rsidR="00D513C7" w:rsidRPr="00C45496">
        <w:t>R</w:t>
      </w:r>
      <w:r w:rsidR="00A352A1" w:rsidRPr="00C45496">
        <w:t>.</w:t>
      </w:r>
      <w:r w:rsidR="00D513C7" w:rsidRPr="00C45496">
        <w:t xml:space="preserve"> </w:t>
      </w:r>
      <w:r w:rsidR="00822A84" w:rsidRPr="00C45496">
        <w:rPr>
          <w:rFonts w:cs="Arial"/>
        </w:rPr>
        <w:t>§</w:t>
      </w:r>
      <w:r w:rsidR="00822A84" w:rsidRPr="00C45496">
        <w:t xml:space="preserve"> </w:t>
      </w:r>
      <w:r w:rsidR="00D513C7" w:rsidRPr="00C45496">
        <w:t>106.30</w:t>
      </w:r>
      <w:r w:rsidRPr="00C45496">
        <w:t>(a)</w:t>
      </w:r>
      <w:r w:rsidR="00D513C7" w:rsidRPr="00C45496">
        <w:t>;</w:t>
      </w:r>
    </w:p>
    <w:p w14:paraId="7B65B04A" w14:textId="28E4E8E4" w:rsidR="00D513C7" w:rsidRPr="00C45496" w:rsidRDefault="006D5BDA" w:rsidP="00780F44">
      <w:pPr>
        <w:pStyle w:val="local1"/>
        <w:numPr>
          <w:ilvl w:val="0"/>
          <w:numId w:val="31"/>
        </w:numPr>
      </w:pPr>
      <w:r w:rsidRPr="00C45496">
        <w:t>Did</w:t>
      </w:r>
      <w:r w:rsidR="00D513C7" w:rsidRPr="00C45496">
        <w:t xml:space="preserve"> not occur against a person in the United States; or </w:t>
      </w:r>
    </w:p>
    <w:p w14:paraId="5B105624" w14:textId="096C129F" w:rsidR="007F662B" w:rsidRPr="00C45496" w:rsidRDefault="006D5BDA" w:rsidP="002A73FF">
      <w:pPr>
        <w:pStyle w:val="local1"/>
        <w:numPr>
          <w:ilvl w:val="0"/>
          <w:numId w:val="31"/>
        </w:numPr>
      </w:pPr>
      <w:r w:rsidRPr="00C45496">
        <w:t>Did</w:t>
      </w:r>
      <w:r w:rsidR="00D513C7" w:rsidRPr="00C45496">
        <w:t xml:space="preserve"> not occur in the </w:t>
      </w:r>
      <w:r w:rsidR="00B53528" w:rsidRPr="00C45496">
        <w:t>TSBVI</w:t>
      </w:r>
      <w:r w:rsidR="00D513C7" w:rsidRPr="00C45496">
        <w:t>’s education program or activity.</w:t>
      </w:r>
    </w:p>
    <w:p w14:paraId="0187CD65" w14:textId="77777777" w:rsidR="00780F44" w:rsidRPr="00C45496" w:rsidRDefault="00780F44" w:rsidP="00231E87">
      <w:pPr>
        <w:pStyle w:val="margin2"/>
        <w:framePr w:wrap="around"/>
      </w:pPr>
      <w:r w:rsidRPr="00C45496">
        <w:t>Discretionary Dismissal</w:t>
      </w:r>
    </w:p>
    <w:p w14:paraId="51DF49D9" w14:textId="3456357D" w:rsidR="00780F44" w:rsidRPr="00C45496" w:rsidRDefault="00B04F9E" w:rsidP="00780F44">
      <w:pPr>
        <w:pStyle w:val="local1"/>
      </w:pPr>
      <w:r w:rsidRPr="00C45496">
        <w:t>A</w:t>
      </w:r>
      <w:r w:rsidR="00D513C7" w:rsidRPr="00C45496">
        <w:t xml:space="preserve"> formal </w:t>
      </w:r>
      <w:r w:rsidR="00780F44" w:rsidRPr="00C45496">
        <w:t>complaint</w:t>
      </w:r>
      <w:r w:rsidR="00D513C7" w:rsidRPr="00C45496">
        <w:t xml:space="preserve"> </w:t>
      </w:r>
      <w:r w:rsidRPr="00C45496">
        <w:t>may</w:t>
      </w:r>
      <w:r w:rsidR="00F36282" w:rsidRPr="00C45496">
        <w:t xml:space="preserve"> </w:t>
      </w:r>
      <w:r w:rsidRPr="00C45496">
        <w:t>be dismissed for</w:t>
      </w:r>
      <w:r w:rsidR="00780F44" w:rsidRPr="00C45496">
        <w:t xml:space="preserve"> the following reasons:</w:t>
      </w:r>
    </w:p>
    <w:p w14:paraId="1DFDC225" w14:textId="79D5E9A3" w:rsidR="00D513C7" w:rsidRPr="00C45496" w:rsidRDefault="00D513C7" w:rsidP="00780F44">
      <w:pPr>
        <w:pStyle w:val="local1"/>
        <w:numPr>
          <w:ilvl w:val="0"/>
          <w:numId w:val="31"/>
        </w:numPr>
      </w:pPr>
      <w:r w:rsidRPr="00C45496">
        <w:t>If, at any time, a complainant notifies the Title IX Coordinator in writing that the complainant would like to withdraw the formal complaint or any allegations in the complaint;</w:t>
      </w:r>
    </w:p>
    <w:p w14:paraId="4E2A21DD" w14:textId="1397B0F6" w:rsidR="00780F44" w:rsidRPr="00C45496" w:rsidRDefault="0084479B" w:rsidP="00780F44">
      <w:pPr>
        <w:pStyle w:val="local1"/>
        <w:numPr>
          <w:ilvl w:val="0"/>
          <w:numId w:val="31"/>
        </w:numPr>
      </w:pPr>
      <w:r w:rsidRPr="00C45496">
        <w:t>If t</w:t>
      </w:r>
      <w:r w:rsidR="00D513C7" w:rsidRPr="00C45496">
        <w:t>he</w:t>
      </w:r>
      <w:r w:rsidR="00780F44" w:rsidRPr="00C45496">
        <w:t xml:space="preserve"> respondent is no longer enro</w:t>
      </w:r>
      <w:r w:rsidR="00C41FC1" w:rsidRPr="00C45496">
        <w:t>lled or employed by TSBVI</w:t>
      </w:r>
      <w:r w:rsidR="00780F44" w:rsidRPr="00C45496">
        <w:t xml:space="preserve">; </w:t>
      </w:r>
    </w:p>
    <w:p w14:paraId="4161ED55" w14:textId="4D7823BB" w:rsidR="00780F44" w:rsidRPr="00C45496" w:rsidRDefault="0084479B" w:rsidP="00780F44">
      <w:pPr>
        <w:pStyle w:val="local1"/>
        <w:numPr>
          <w:ilvl w:val="0"/>
          <w:numId w:val="31"/>
        </w:numPr>
      </w:pPr>
      <w:r w:rsidRPr="00C45496">
        <w:t>If s</w:t>
      </w:r>
      <w:r w:rsidR="00780F44" w:rsidRPr="00C45496">
        <w:t xml:space="preserve">pecific circumstances prevent </w:t>
      </w:r>
      <w:r w:rsidR="00C41FC1" w:rsidRPr="00C45496">
        <w:t>TSBVI</w:t>
      </w:r>
      <w:r w:rsidR="007F662B" w:rsidRPr="00C45496">
        <w:t xml:space="preserve"> </w:t>
      </w:r>
      <w:r w:rsidR="00780F44" w:rsidRPr="00C45496">
        <w:t>from gathering evidence sufficient to reach a determination as to the formal complaint or allegations therein</w:t>
      </w:r>
      <w:r w:rsidR="00D513C7" w:rsidRPr="00C45496">
        <w:t>; or</w:t>
      </w:r>
    </w:p>
    <w:p w14:paraId="0B4B16F7" w14:textId="733D58C2" w:rsidR="00D513C7" w:rsidRPr="00C45496" w:rsidRDefault="0084479B" w:rsidP="00780F44">
      <w:pPr>
        <w:pStyle w:val="local1"/>
        <w:numPr>
          <w:ilvl w:val="0"/>
          <w:numId w:val="31"/>
        </w:numPr>
      </w:pPr>
      <w:r w:rsidRPr="00C45496">
        <w:t>If t</w:t>
      </w:r>
      <w:r w:rsidR="00D513C7" w:rsidRPr="00C45496">
        <w:t xml:space="preserve">he complainant no longer has any involvement with </w:t>
      </w:r>
      <w:r w:rsidR="00C41FC1" w:rsidRPr="00C45496">
        <w:t>TSBVI</w:t>
      </w:r>
      <w:r w:rsidR="00D513C7" w:rsidRPr="00C45496">
        <w:t>.</w:t>
      </w:r>
    </w:p>
    <w:p w14:paraId="4293C47C" w14:textId="48956F23" w:rsidR="002A73FF" w:rsidRPr="00C45496" w:rsidRDefault="002A73FF" w:rsidP="005C64B1">
      <w:pPr>
        <w:pStyle w:val="margin2"/>
        <w:framePr w:wrap="around"/>
      </w:pPr>
      <w:r w:rsidRPr="00C45496">
        <w:t>Appeal of Complaint Dismissal</w:t>
      </w:r>
    </w:p>
    <w:p w14:paraId="795F3A88" w14:textId="20E94EE6" w:rsidR="00F5234B" w:rsidRPr="00C45496" w:rsidRDefault="00F5234B" w:rsidP="00F5234B">
      <w:pPr>
        <w:pStyle w:val="list-level1"/>
        <w:numPr>
          <w:ilvl w:val="0"/>
          <w:numId w:val="0"/>
        </w:numPr>
      </w:pPr>
      <w:r w:rsidRPr="00C45496">
        <w:t>In accordance with law and local policy, the complainant may appeal the written dismissal of a formal complaint or any allegations therein on the following bases:</w:t>
      </w:r>
    </w:p>
    <w:p w14:paraId="5555781A" w14:textId="77777777" w:rsidR="00F5234B" w:rsidRPr="00C45496" w:rsidRDefault="00F5234B" w:rsidP="00F5234B">
      <w:pPr>
        <w:pStyle w:val="list-level1"/>
        <w:numPr>
          <w:ilvl w:val="0"/>
          <w:numId w:val="34"/>
        </w:numPr>
      </w:pPr>
      <w:r w:rsidRPr="00C45496">
        <w:t>Procedural irregularity that affected the outcome of the matter;</w:t>
      </w:r>
    </w:p>
    <w:p w14:paraId="4AED71A9" w14:textId="3E408E07" w:rsidR="00F5234B" w:rsidRPr="00C45496" w:rsidRDefault="00F5234B" w:rsidP="00F5234B">
      <w:pPr>
        <w:pStyle w:val="list-level1"/>
        <w:numPr>
          <w:ilvl w:val="0"/>
          <w:numId w:val="34"/>
        </w:numPr>
      </w:pPr>
      <w:r w:rsidRPr="00C45496">
        <w:t>New evidence that was not reasonably available at the time the determination regarding responsibility or dismissal was made</w:t>
      </w:r>
      <w:r w:rsidR="00807EAE" w:rsidRPr="00C45496">
        <w:t xml:space="preserve"> and</w:t>
      </w:r>
      <w:r w:rsidRPr="00C45496">
        <w:t xml:space="preserve"> that could affect the outcome of the matter; or</w:t>
      </w:r>
    </w:p>
    <w:p w14:paraId="122E2FAC" w14:textId="62F9ACB6" w:rsidR="00F5234B" w:rsidRPr="00C45496" w:rsidRDefault="00F5234B" w:rsidP="00F5234B">
      <w:pPr>
        <w:pStyle w:val="list-level1"/>
        <w:numPr>
          <w:ilvl w:val="0"/>
          <w:numId w:val="34"/>
        </w:numPr>
      </w:pPr>
      <w:r w:rsidRPr="00C45496">
        <w:lastRenderedPageBreak/>
        <w:t>The Title IX Coordinator, investigator, or decision-maker had a conflict of interest or bias for or against complainants or respondents generally or the individual complainant or respondent that affected the outcome of the matter.</w:t>
      </w:r>
    </w:p>
    <w:p w14:paraId="3C77B65B" w14:textId="2F48AE2E" w:rsidR="00A413B7" w:rsidRPr="00C45496" w:rsidRDefault="00A413B7" w:rsidP="00A413B7">
      <w:pPr>
        <w:pStyle w:val="list-level1"/>
        <w:numPr>
          <w:ilvl w:val="0"/>
          <w:numId w:val="0"/>
        </w:numPr>
      </w:pPr>
      <w:r w:rsidRPr="00C45496">
        <w:t xml:space="preserve">Title IX does not require </w:t>
      </w:r>
      <w:r w:rsidR="00C41FC1" w:rsidRPr="00C45496">
        <w:t xml:space="preserve">TSBVI </w:t>
      </w:r>
      <w:r w:rsidRPr="00C45496">
        <w:t xml:space="preserve">to accept appeals based on any other reasons. </w:t>
      </w:r>
    </w:p>
    <w:p w14:paraId="67D12550" w14:textId="2F1DA586" w:rsidR="00F5234B" w:rsidRPr="00C45496" w:rsidRDefault="00F5234B" w:rsidP="00F5234B">
      <w:pPr>
        <w:pStyle w:val="list-level1"/>
        <w:numPr>
          <w:ilvl w:val="0"/>
          <w:numId w:val="0"/>
        </w:numPr>
      </w:pPr>
      <w:r w:rsidRPr="00C45496">
        <w:t xml:space="preserve">To initiate an appeal, a complainant must </w:t>
      </w:r>
      <w:r w:rsidR="00A413B7" w:rsidRPr="00C45496">
        <w:t>follow the procedures below at Appeal Procedures.</w:t>
      </w:r>
    </w:p>
    <w:p w14:paraId="620BBB7D" w14:textId="77777777" w:rsidR="006F06F2" w:rsidRPr="00C45496" w:rsidRDefault="006F06F2" w:rsidP="006F06F2">
      <w:pPr>
        <w:pStyle w:val="margin1"/>
        <w:framePr w:wrap="around"/>
      </w:pPr>
      <w:r w:rsidRPr="00C45496">
        <w:t xml:space="preserve">Standard of Evidence </w:t>
      </w:r>
    </w:p>
    <w:p w14:paraId="77249AF3" w14:textId="13267469" w:rsidR="006F06F2" w:rsidRPr="00C45496" w:rsidRDefault="00C41FC1" w:rsidP="006F06F2">
      <w:pPr>
        <w:pStyle w:val="list-level1"/>
        <w:numPr>
          <w:ilvl w:val="0"/>
          <w:numId w:val="0"/>
        </w:numPr>
      </w:pPr>
      <w:r w:rsidRPr="00C45496">
        <w:t xml:space="preserve">TSBVI </w:t>
      </w:r>
      <w:r w:rsidR="00232CBA" w:rsidRPr="00C45496">
        <w:t>uses the</w:t>
      </w:r>
      <w:r w:rsidR="006F06F2" w:rsidRPr="00C45496">
        <w:t xml:space="preserve"> preponderance of evidence</w:t>
      </w:r>
      <w:r w:rsidR="00232CBA" w:rsidRPr="00C45496">
        <w:t xml:space="preserve"> standard of evidence to determine responsibility unless stated otherwise in FFH(</w:t>
      </w:r>
      <w:r w:rsidRPr="00C45496">
        <w:t>TSBVI</w:t>
      </w:r>
      <w:r w:rsidR="00232CBA" w:rsidRPr="00C45496">
        <w:t xml:space="preserve">). Title IX requires </w:t>
      </w:r>
      <w:r w:rsidRPr="00C45496">
        <w:t xml:space="preserve">TSBVI </w:t>
      </w:r>
      <w:r w:rsidR="00232CBA" w:rsidRPr="00C45496">
        <w:t>to adopt a standard of evidence that</w:t>
      </w:r>
      <w:r w:rsidR="006F06F2" w:rsidRPr="00C45496">
        <w:t xml:space="preserve"> will be used to determine responsibility for all formal complaints of sexual harassment.</w:t>
      </w:r>
    </w:p>
    <w:p w14:paraId="525955BC" w14:textId="77777777" w:rsidR="006F06F2" w:rsidRPr="00C45496" w:rsidRDefault="006F06F2" w:rsidP="006F06F2">
      <w:pPr>
        <w:pStyle w:val="margin2"/>
        <w:framePr w:wrap="around"/>
      </w:pPr>
      <w:r w:rsidRPr="00C45496">
        <w:t>Objectivity</w:t>
      </w:r>
    </w:p>
    <w:p w14:paraId="483AF812" w14:textId="14514088" w:rsidR="006F06F2" w:rsidRPr="00C45496" w:rsidRDefault="006F06F2" w:rsidP="006F06F2">
      <w:pPr>
        <w:pStyle w:val="list-level1"/>
        <w:numPr>
          <w:ilvl w:val="0"/>
          <w:numId w:val="0"/>
        </w:numPr>
      </w:pPr>
      <w:r w:rsidRPr="00C45496">
        <w:t>When evaluating relevant evidence, whether the evidence is inculpatory (serving to show responsibility) or exculpatory (serving to clear of responsibility), an investigator and decision</w:t>
      </w:r>
      <w:r w:rsidR="002419F2" w:rsidRPr="00C45496">
        <w:t>-</w:t>
      </w:r>
      <w:r w:rsidRPr="00C45496">
        <w:t>maker must remain objective. Credibility determinations may not be based on a</w:t>
      </w:r>
      <w:r w:rsidR="00036344" w:rsidRPr="00C45496">
        <w:t>n individual’s</w:t>
      </w:r>
      <w:r w:rsidRPr="00C45496">
        <w:t xml:space="preserve"> status as a complainant, respondent, or witness. </w:t>
      </w:r>
    </w:p>
    <w:p w14:paraId="194B9E29" w14:textId="77777777" w:rsidR="006F06F2" w:rsidRPr="00C45496" w:rsidRDefault="006F06F2" w:rsidP="006F06F2">
      <w:pPr>
        <w:pStyle w:val="margin1"/>
        <w:framePr w:wrap="around"/>
      </w:pPr>
      <w:r w:rsidRPr="00C45496">
        <w:t>Privileged Information</w:t>
      </w:r>
    </w:p>
    <w:p w14:paraId="2E49315A" w14:textId="5DE94D8D" w:rsidR="00033915" w:rsidRPr="00C45496" w:rsidRDefault="006F06F2" w:rsidP="006F06F2">
      <w:pPr>
        <w:pStyle w:val="list-level1"/>
        <w:numPr>
          <w:ilvl w:val="0"/>
          <w:numId w:val="0"/>
        </w:numPr>
      </w:pPr>
      <w:r w:rsidRPr="00C45496">
        <w:t>If a party seeks or uses information protected under a legally recognized privilege, the party must provide written documentation indicating that the individual holding the privilege has waived the privilege and consents to use for the purpose of the formal complaint process.</w:t>
      </w:r>
    </w:p>
    <w:p w14:paraId="647102B3" w14:textId="77777777" w:rsidR="002A6E2D" w:rsidRPr="00C45496" w:rsidRDefault="002A6E2D" w:rsidP="002A6E2D">
      <w:pPr>
        <w:pStyle w:val="local1"/>
      </w:pPr>
    </w:p>
    <w:p w14:paraId="5E818057" w14:textId="77777777" w:rsidR="002A6E2D" w:rsidRPr="00C45496" w:rsidRDefault="002A6E2D" w:rsidP="002A6E2D">
      <w:pPr>
        <w:pStyle w:val="margin1"/>
        <w:framePr w:wrap="around"/>
      </w:pPr>
      <w:r w:rsidRPr="00C45496">
        <w:t>Informal Resolution</w:t>
      </w:r>
    </w:p>
    <w:p w14:paraId="2925785A" w14:textId="77777777" w:rsidR="002A6E2D" w:rsidRPr="00C45496" w:rsidRDefault="002A6E2D" w:rsidP="002A6E2D">
      <w:pPr>
        <w:pStyle w:val="list-level1"/>
        <w:numPr>
          <w:ilvl w:val="0"/>
          <w:numId w:val="0"/>
        </w:numPr>
      </w:pPr>
      <w:r w:rsidRPr="00C45496">
        <w:t xml:space="preserve">If a formal complaint has been filed, other than a complaint alleging sexual harassment of a student by an employee, and prior to reaching a determination regarding responsibility, the Title IX Coordinator may offer but may not require a party to participate in a voluntary informal resolution process, such as mediation. </w:t>
      </w:r>
    </w:p>
    <w:p w14:paraId="1D86DA02" w14:textId="77777777" w:rsidR="002A6E2D" w:rsidRPr="00C45496" w:rsidRDefault="002A6E2D" w:rsidP="002A6E2D">
      <w:pPr>
        <w:pStyle w:val="list-level1"/>
        <w:numPr>
          <w:ilvl w:val="0"/>
          <w:numId w:val="0"/>
        </w:numPr>
      </w:pPr>
      <w:r w:rsidRPr="00C45496">
        <w:t xml:space="preserve">In addition, either party may request informal resolution by making a written request to the Title IX Coordinator, who will promptly notify the other party of this request. The other party is not required to agree to participate. If a party declines or at any time withdraws from an informal resolution process, the Coordinator will notify the other party that the informal resolution process has been terminated and resume the formal complaint process. </w:t>
      </w:r>
    </w:p>
    <w:p w14:paraId="596632E0" w14:textId="77777777" w:rsidR="002A6E2D" w:rsidRPr="00C45496" w:rsidRDefault="002A6E2D" w:rsidP="002A6E2D">
      <w:pPr>
        <w:pStyle w:val="list-level1"/>
        <w:numPr>
          <w:ilvl w:val="0"/>
          <w:numId w:val="0"/>
        </w:numPr>
      </w:pPr>
      <w:r w:rsidRPr="00C45496">
        <w:t>Prior to facilitating or designating another person to facilitate the informal resolution process, the Title IX Coordinator will provide both parties written notice that contains at least the following information:</w:t>
      </w:r>
    </w:p>
    <w:p w14:paraId="40BAA566" w14:textId="77777777" w:rsidR="002A6E2D" w:rsidRPr="00C45496" w:rsidRDefault="002A6E2D" w:rsidP="002A6E2D">
      <w:pPr>
        <w:pStyle w:val="list-level1"/>
        <w:numPr>
          <w:ilvl w:val="0"/>
          <w:numId w:val="35"/>
        </w:numPr>
      </w:pPr>
      <w:r w:rsidRPr="00C45496">
        <w:lastRenderedPageBreak/>
        <w:t xml:space="preserve">Provide to the parties a written notice disclosing: </w:t>
      </w:r>
    </w:p>
    <w:p w14:paraId="536814B8" w14:textId="77777777" w:rsidR="002A6E2D" w:rsidRPr="00C45496" w:rsidRDefault="002A6E2D" w:rsidP="002A6E2D">
      <w:pPr>
        <w:pStyle w:val="list-level1"/>
        <w:numPr>
          <w:ilvl w:val="1"/>
          <w:numId w:val="35"/>
        </w:numPr>
      </w:pPr>
      <w:r w:rsidRPr="00C45496">
        <w:t>the allegations;</w:t>
      </w:r>
    </w:p>
    <w:p w14:paraId="5AEFA870" w14:textId="77777777" w:rsidR="002A6E2D" w:rsidRPr="00C45496" w:rsidRDefault="002A6E2D" w:rsidP="002A6E2D">
      <w:pPr>
        <w:pStyle w:val="list-level1"/>
        <w:numPr>
          <w:ilvl w:val="1"/>
          <w:numId w:val="35"/>
        </w:numPr>
      </w:pPr>
      <w:r w:rsidRPr="00C45496">
        <w:t>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w:t>
      </w:r>
    </w:p>
    <w:p w14:paraId="371DC979" w14:textId="77777777" w:rsidR="002A6E2D" w:rsidRPr="00C45496" w:rsidRDefault="002A6E2D" w:rsidP="002A6E2D">
      <w:pPr>
        <w:pStyle w:val="list-level1"/>
        <w:numPr>
          <w:ilvl w:val="1"/>
          <w:numId w:val="35"/>
        </w:numPr>
      </w:pPr>
      <w:r w:rsidRPr="00C45496">
        <w:t>any consequences resulting from participating in the informal resolution process, including the records that will be maintained or could be shared.</w:t>
      </w:r>
    </w:p>
    <w:p w14:paraId="7AE2A8C2" w14:textId="692A865D" w:rsidR="002A6E2D" w:rsidRPr="00C45496" w:rsidRDefault="002A6E2D" w:rsidP="002A6E2D">
      <w:pPr>
        <w:pStyle w:val="list-level1"/>
        <w:numPr>
          <w:ilvl w:val="0"/>
          <w:numId w:val="35"/>
        </w:numPr>
      </w:pPr>
      <w:r w:rsidRPr="00C45496">
        <w:t>Obtain the parties’ voluntary, written consent to the informal resolution process.</w:t>
      </w:r>
    </w:p>
    <w:p w14:paraId="50189F8C" w14:textId="77777777" w:rsidR="00780F44" w:rsidRPr="00C45496" w:rsidRDefault="00780F44" w:rsidP="00375412">
      <w:pPr>
        <w:pStyle w:val="margin1"/>
        <w:framePr w:wrap="around"/>
      </w:pPr>
      <w:r w:rsidRPr="00C45496">
        <w:t>Investigation of Formal Complaint</w:t>
      </w:r>
    </w:p>
    <w:p w14:paraId="5BADA5DC" w14:textId="72FB007F" w:rsidR="00780F44" w:rsidRPr="00C45496" w:rsidRDefault="00780F44" w:rsidP="00780F44">
      <w:pPr>
        <w:pStyle w:val="local1"/>
      </w:pPr>
      <w:r w:rsidRPr="00C45496">
        <w:t xml:space="preserve">The Title IX Coordinator may serve as </w:t>
      </w:r>
      <w:r w:rsidR="007F662B" w:rsidRPr="00C45496">
        <w:t xml:space="preserve">an </w:t>
      </w:r>
      <w:r w:rsidRPr="00C45496">
        <w:t>investigator</w:t>
      </w:r>
      <w:r w:rsidR="007F662B" w:rsidRPr="00C45496">
        <w:t xml:space="preserve">, appoint a trained </w:t>
      </w:r>
      <w:r w:rsidR="00CF465E" w:rsidRPr="00C45496">
        <w:t>TSBVI</w:t>
      </w:r>
      <w:r w:rsidR="007F662B" w:rsidRPr="00C45496">
        <w:t xml:space="preserve"> employee to serve as an investigator,</w:t>
      </w:r>
      <w:r w:rsidRPr="00C45496">
        <w:t xml:space="preserve"> or, in consultation with the Superintendent, appoint an external investigator</w:t>
      </w:r>
      <w:r w:rsidR="007F662B" w:rsidRPr="00C45496">
        <w:t>,</w:t>
      </w:r>
      <w:r w:rsidRPr="00C45496">
        <w:t xml:space="preserve"> to investigate </w:t>
      </w:r>
      <w:r w:rsidR="00491006" w:rsidRPr="00C45496">
        <w:t>the allegations in</w:t>
      </w:r>
      <w:r w:rsidRPr="00C45496">
        <w:t xml:space="preserve"> a formal complaint. The burden of proof and burden of gathering evidence sufficient to reach a determination regar</w:t>
      </w:r>
      <w:r w:rsidR="00CF465E" w:rsidRPr="00C45496">
        <w:t>ding responsibility rests with TSBVI</w:t>
      </w:r>
      <w:r w:rsidRPr="00C45496">
        <w:t xml:space="preserve"> and not </w:t>
      </w:r>
      <w:r w:rsidR="00491006" w:rsidRPr="00C45496">
        <w:t>with</w:t>
      </w:r>
      <w:r w:rsidRPr="00C45496">
        <w:t xml:space="preserve"> the parties. </w:t>
      </w:r>
      <w:r w:rsidR="0068514C" w:rsidRPr="00C45496">
        <w:t xml:space="preserve">All allegations in a </w:t>
      </w:r>
      <w:r w:rsidR="002419F2" w:rsidRPr="00C45496">
        <w:t xml:space="preserve">formal </w:t>
      </w:r>
      <w:r w:rsidR="0068514C" w:rsidRPr="00C45496">
        <w:t xml:space="preserve">complaint will be investigated. </w:t>
      </w:r>
    </w:p>
    <w:p w14:paraId="00F32A64" w14:textId="0DE218D6" w:rsidR="009012ED" w:rsidRPr="00C45496" w:rsidRDefault="009012ED" w:rsidP="009012ED">
      <w:pPr>
        <w:pStyle w:val="local1"/>
      </w:pPr>
      <w:r w:rsidRPr="00C45496">
        <w:t xml:space="preserve">Absent good cause, the investigation should </w:t>
      </w:r>
      <w:r w:rsidR="00CF465E" w:rsidRPr="00C45496">
        <w:t xml:space="preserve">be completed within 30 </w:t>
      </w:r>
      <w:r w:rsidRPr="00C45496">
        <w:t>days</w:t>
      </w:r>
      <w:r w:rsidR="00E27E53">
        <w:t xml:space="preserve"> </w:t>
      </w:r>
      <w:r w:rsidRPr="00C45496">
        <w:t xml:space="preserve">from the date that the formal complaint was signed or filed; however, the investigator </w:t>
      </w:r>
      <w:r w:rsidR="00BA0DF5" w:rsidRPr="00C45496">
        <w:t>may</w:t>
      </w:r>
      <w:r w:rsidRPr="00C45496">
        <w:t xml:space="preserve"> take additional time in accordance with law, board policy, or these procedures. </w:t>
      </w:r>
    </w:p>
    <w:p w14:paraId="2694FFE3" w14:textId="2E6C42C2" w:rsidR="00C51076" w:rsidRPr="00C45496" w:rsidRDefault="00C51076" w:rsidP="00C848D8">
      <w:pPr>
        <w:pStyle w:val="margin2"/>
        <w:framePr w:wrap="around"/>
      </w:pPr>
      <w:r w:rsidRPr="00C45496">
        <w:t>Gathering Evidence</w:t>
      </w:r>
    </w:p>
    <w:p w14:paraId="1AC8DCDA" w14:textId="11F4D23F" w:rsidR="00A74DFA" w:rsidRPr="00C45496" w:rsidRDefault="007F0B5E" w:rsidP="00A74DFA">
      <w:pPr>
        <w:pStyle w:val="local1"/>
      </w:pPr>
      <w:r w:rsidRPr="00C45496">
        <w:t>After receiving the written complaint, t</w:t>
      </w:r>
      <w:r w:rsidR="00780F44" w:rsidRPr="00C45496">
        <w:t xml:space="preserve">he investigator will meet </w:t>
      </w:r>
      <w:r w:rsidRPr="00C45496">
        <w:t xml:space="preserve">promptly </w:t>
      </w:r>
      <w:r w:rsidR="00780F44" w:rsidRPr="00C45496">
        <w:t xml:space="preserve">with </w:t>
      </w:r>
      <w:r w:rsidRPr="00C45496">
        <w:t xml:space="preserve">each party </w:t>
      </w:r>
      <w:r w:rsidR="00780F44" w:rsidRPr="00C45496">
        <w:t xml:space="preserve">to conduct initial interviews, gather information, and collect evidence. </w:t>
      </w:r>
      <w:r w:rsidRPr="00C45496">
        <w:t xml:space="preserve">While </w:t>
      </w:r>
      <w:r w:rsidR="00083E3E" w:rsidRPr="00C45496">
        <w:t xml:space="preserve">TSBVI </w:t>
      </w:r>
      <w:r w:rsidRPr="00C45496">
        <w:t xml:space="preserve">has the burden of proof for determining responsibility, the parties may submit evidence, testimony, witnesses, or other information that they wish the investigator to consider. </w:t>
      </w:r>
      <w:r w:rsidR="00780F44" w:rsidRPr="00C45496">
        <w:t xml:space="preserve">Parties may </w:t>
      </w:r>
      <w:r w:rsidRPr="00C45496">
        <w:t xml:space="preserve">also </w:t>
      </w:r>
      <w:r w:rsidR="00780F44" w:rsidRPr="00C45496">
        <w:t xml:space="preserve">present fact and expert witness testimony in the form of written statements. Any </w:t>
      </w:r>
      <w:r w:rsidRPr="00C45496">
        <w:t xml:space="preserve">deadlines or other </w:t>
      </w:r>
      <w:r w:rsidR="00780F44" w:rsidRPr="00C45496">
        <w:t>restrictions related to the formal complaint process must apply equally to both parties. The investigator must provide to any party whose participation is invited or expected, written notice of the date, time, location, participants, and purpose of any investigative interview or other meetings, with sufficient time for the party to prepare to participate.</w:t>
      </w:r>
    </w:p>
    <w:p w14:paraId="7C60092F" w14:textId="44A6E9F1" w:rsidR="00A74DFA" w:rsidRPr="00C45496" w:rsidRDefault="00A74DFA" w:rsidP="00A74DFA">
      <w:pPr>
        <w:pStyle w:val="margin2"/>
        <w:framePr w:wrap="around"/>
      </w:pPr>
      <w:r w:rsidRPr="00C45496">
        <w:t>Advisors</w:t>
      </w:r>
    </w:p>
    <w:p w14:paraId="26C3F281" w14:textId="0B791A98" w:rsidR="009012ED" w:rsidRPr="00C45496" w:rsidRDefault="006F06F2" w:rsidP="00780F44">
      <w:pPr>
        <w:pStyle w:val="local1"/>
      </w:pPr>
      <w:r w:rsidRPr="00C45496">
        <w:t xml:space="preserve">Each party may </w:t>
      </w:r>
      <w:r w:rsidR="00A74DFA" w:rsidRPr="00C45496">
        <w:t>be accompanied by</w:t>
      </w:r>
      <w:r w:rsidRPr="00C45496">
        <w:t xml:space="preserve"> an advisor of </w:t>
      </w:r>
      <w:r w:rsidR="00A74DFA" w:rsidRPr="00C45496">
        <w:t xml:space="preserve">the party’s </w:t>
      </w:r>
      <w:r w:rsidRPr="00C45496">
        <w:t>choice during the interview with the investigator</w:t>
      </w:r>
      <w:r w:rsidR="00A74DFA" w:rsidRPr="00C45496">
        <w:t xml:space="preserve"> or other meetings during the formal complaint process</w:t>
      </w:r>
      <w:r w:rsidRPr="00C45496">
        <w:t>.</w:t>
      </w:r>
    </w:p>
    <w:p w14:paraId="2E616F7E" w14:textId="09B88CDC" w:rsidR="009012ED" w:rsidRPr="00C45496" w:rsidRDefault="009012ED" w:rsidP="009012ED">
      <w:pPr>
        <w:pStyle w:val="margin3"/>
        <w:framePr w:wrap="around"/>
      </w:pPr>
      <w:r w:rsidRPr="00C45496">
        <w:lastRenderedPageBreak/>
        <w:t>Confidentiality</w:t>
      </w:r>
    </w:p>
    <w:p w14:paraId="1B09B716" w14:textId="7904DB47" w:rsidR="006F06F2" w:rsidRPr="00C45496" w:rsidRDefault="00A74DFA" w:rsidP="00780F44">
      <w:pPr>
        <w:pStyle w:val="local1"/>
      </w:pPr>
      <w:r w:rsidRPr="00C45496">
        <w:t>In order to preserve the confidentiality of student information protected by the Family Education</w:t>
      </w:r>
      <w:r w:rsidR="00822A84" w:rsidRPr="00C45496">
        <w:t>al</w:t>
      </w:r>
      <w:r w:rsidRPr="00C45496">
        <w:t xml:space="preserve"> Rights and Privacy Act (FERPA), </w:t>
      </w:r>
      <w:r w:rsidR="00083E3E" w:rsidRPr="00C45496">
        <w:t xml:space="preserve">TSBVI </w:t>
      </w:r>
      <w:r w:rsidRPr="00C45496">
        <w:t xml:space="preserve">may require the parent of a minor student to sign a release form indicating consent to allow </w:t>
      </w:r>
      <w:r w:rsidR="00083E3E" w:rsidRPr="00C45496">
        <w:t xml:space="preserve">TSBVI </w:t>
      </w:r>
      <w:r w:rsidRPr="00C45496">
        <w:t xml:space="preserve">to release information related to the allegations to the designated advisor. [See FL.] </w:t>
      </w:r>
      <w:r w:rsidR="009012ED" w:rsidRPr="00C45496">
        <w:t xml:space="preserve">In addition, </w:t>
      </w:r>
      <w:r w:rsidR="00083E3E" w:rsidRPr="00C45496">
        <w:t xml:space="preserve">TSBVI </w:t>
      </w:r>
      <w:r w:rsidR="009012ED" w:rsidRPr="00C45496">
        <w:t xml:space="preserve">shall inform any designated advisors that confidential information received during the Title IX formal complaint process, including the evidence received for inspection and review as well as the investigation report, </w:t>
      </w:r>
      <w:r w:rsidR="006C64EF" w:rsidRPr="00C45496">
        <w:t>may</w:t>
      </w:r>
      <w:r w:rsidR="009012ED" w:rsidRPr="00C45496">
        <w:t xml:space="preserve"> be used only for purposes of the Title IX formal complaint process and </w:t>
      </w:r>
      <w:r w:rsidR="006C64EF" w:rsidRPr="00C45496">
        <w:t>may</w:t>
      </w:r>
      <w:r w:rsidR="009012ED" w:rsidRPr="00C45496">
        <w:t xml:space="preserve"> not be further disclosed or disseminated. </w:t>
      </w:r>
      <w:r w:rsidRPr="00C45496">
        <w:t>Any restriction or requirement regarding an advisor must apply equally to all parties.</w:t>
      </w:r>
    </w:p>
    <w:p w14:paraId="50636B62" w14:textId="3894BEA5" w:rsidR="00780F44" w:rsidRPr="00C45496" w:rsidRDefault="00657430" w:rsidP="00375412">
      <w:pPr>
        <w:pStyle w:val="margin2"/>
        <w:framePr w:wrap="around"/>
      </w:pPr>
      <w:r w:rsidRPr="00C45496">
        <w:t>Inspection of Evidence</w:t>
      </w:r>
    </w:p>
    <w:p w14:paraId="111B7388" w14:textId="6F93D9F7" w:rsidR="00780F44" w:rsidRPr="00C45496" w:rsidRDefault="00491006" w:rsidP="00780F44">
      <w:pPr>
        <w:pStyle w:val="list-level1"/>
        <w:numPr>
          <w:ilvl w:val="0"/>
          <w:numId w:val="0"/>
        </w:numPr>
      </w:pPr>
      <w:r w:rsidRPr="00C45496">
        <w:t>In order to afford</w:t>
      </w:r>
      <w:r w:rsidR="00780F44" w:rsidRPr="00C45496">
        <w:t xml:space="preserve"> each </w:t>
      </w:r>
      <w:proofErr w:type="gramStart"/>
      <w:r w:rsidR="00780F44" w:rsidRPr="00C45496">
        <w:t>party</w:t>
      </w:r>
      <w:proofErr w:type="gramEnd"/>
      <w:r w:rsidR="00780F44" w:rsidRPr="00C45496">
        <w:t xml:space="preserve"> </w:t>
      </w:r>
      <w:r w:rsidRPr="00C45496">
        <w:t>the opportunity to</w:t>
      </w:r>
      <w:r w:rsidR="00780F44" w:rsidRPr="00C45496">
        <w:t xml:space="preserve"> respond</w:t>
      </w:r>
      <w:r w:rsidR="00A74DFA" w:rsidRPr="00C45496">
        <w:t xml:space="preserve"> meaningfully</w:t>
      </w:r>
      <w:r w:rsidR="00780F44" w:rsidRPr="00C45496">
        <w:t xml:space="preserve"> to the evidence prior to </w:t>
      </w:r>
      <w:r w:rsidRPr="00C45496">
        <w:t xml:space="preserve">the </w:t>
      </w:r>
      <w:r w:rsidR="00780F44" w:rsidRPr="00C45496">
        <w:t xml:space="preserve">conclusion of the investigation, </w:t>
      </w:r>
      <w:r w:rsidR="00C51076" w:rsidRPr="00C45496">
        <w:t xml:space="preserve">the investigator will make available </w:t>
      </w:r>
      <w:r w:rsidR="00780F44" w:rsidRPr="00C45496">
        <w:t xml:space="preserve">evidence submitted by the parties or obtained as part of the investigation that is directly related to the allegations raised in a formal complaint to both parties for inspection and review. This includes evidence upon which </w:t>
      </w:r>
      <w:r w:rsidR="00083E3E" w:rsidRPr="00C45496">
        <w:t xml:space="preserve">TSBVI’s </w:t>
      </w:r>
      <w:r w:rsidR="00F414C4" w:rsidRPr="00C45496">
        <w:t>decision</w:t>
      </w:r>
      <w:r w:rsidR="002419F2" w:rsidRPr="00C45496">
        <w:t>-</w:t>
      </w:r>
      <w:r w:rsidR="00F414C4" w:rsidRPr="00C45496">
        <w:t>maker may choose</w:t>
      </w:r>
      <w:r w:rsidR="00780F44" w:rsidRPr="00C45496">
        <w:t xml:space="preserve"> not to rely </w:t>
      </w:r>
      <w:r w:rsidR="00F414C4" w:rsidRPr="00C45496">
        <w:t>when</w:t>
      </w:r>
      <w:r w:rsidR="00780F44" w:rsidRPr="00C45496">
        <w:t xml:space="preserve"> reaching a determination </w:t>
      </w:r>
      <w:r w:rsidR="00914D5B" w:rsidRPr="00C45496">
        <w:t>regarding</w:t>
      </w:r>
      <w:r w:rsidR="00780F44" w:rsidRPr="00C45496">
        <w:t xml:space="preserve"> responsibility</w:t>
      </w:r>
      <w:r w:rsidR="00F414C4" w:rsidRPr="00C45496">
        <w:t>,</w:t>
      </w:r>
      <w:r w:rsidR="00780F44" w:rsidRPr="00C45496">
        <w:t xml:space="preserve"> as well as inculpatory or exculpatory evidence.</w:t>
      </w:r>
    </w:p>
    <w:p w14:paraId="00706F4A" w14:textId="44C83C5E" w:rsidR="00061019" w:rsidRPr="00C45496" w:rsidRDefault="00780F44" w:rsidP="00780F44">
      <w:pPr>
        <w:pStyle w:val="local1"/>
      </w:pPr>
      <w:r w:rsidRPr="00C45496">
        <w:t>Prior to completion of the investigative report, the investigator will send to each party and the party’s advisor, if any, the evidence subject to review and inspection</w:t>
      </w:r>
      <w:r w:rsidR="00657430" w:rsidRPr="00C45496">
        <w:t xml:space="preserve"> in an electronic format or hard copy</w:t>
      </w:r>
      <w:r w:rsidRPr="00C45496">
        <w:t xml:space="preserve">. </w:t>
      </w:r>
      <w:bookmarkStart w:id="4" w:name="_Hlk47536305"/>
      <w:r w:rsidR="008B128A" w:rsidRPr="00C45496">
        <w:t>As required by law, e</w:t>
      </w:r>
      <w:r w:rsidRPr="00C45496">
        <w:t xml:space="preserve">ach party must be allowed 10 days from the date of receipt of the evidence to </w:t>
      </w:r>
      <w:r w:rsidR="00EB7BFC" w:rsidRPr="00C45496">
        <w:t xml:space="preserve">inspect and review the evidence, and </w:t>
      </w:r>
      <w:r w:rsidR="00282D90" w:rsidRPr="00C45496">
        <w:t>to submit</w:t>
      </w:r>
      <w:r w:rsidRPr="00C45496">
        <w:t xml:space="preserve"> a written response that the investigator will consider when completing the</w:t>
      </w:r>
      <w:r w:rsidR="00896594" w:rsidRPr="00C45496">
        <w:t xml:space="preserve"> final</w:t>
      </w:r>
      <w:r w:rsidRPr="00C45496">
        <w:t xml:space="preserve"> investigative report.</w:t>
      </w:r>
    </w:p>
    <w:bookmarkEnd w:id="4"/>
    <w:p w14:paraId="1B347CCE" w14:textId="0FFDBE1A" w:rsidR="00C51076" w:rsidRPr="00C45496" w:rsidRDefault="00C51076" w:rsidP="00C51076">
      <w:pPr>
        <w:pStyle w:val="margin2"/>
        <w:framePr w:wrap="around"/>
      </w:pPr>
      <w:r w:rsidRPr="00C45496">
        <w:t>Investigation Report</w:t>
      </w:r>
    </w:p>
    <w:p w14:paraId="652BF595" w14:textId="75BF8EAA" w:rsidR="00780F44" w:rsidRPr="00C45496" w:rsidRDefault="00780F44" w:rsidP="00780F44">
      <w:pPr>
        <w:pStyle w:val="local1"/>
      </w:pPr>
      <w:r w:rsidRPr="00C45496">
        <w:t xml:space="preserve">The investigative report </w:t>
      </w:r>
      <w:r w:rsidR="00F414C4" w:rsidRPr="00C45496">
        <w:t xml:space="preserve">will </w:t>
      </w:r>
      <w:r w:rsidRPr="00C45496">
        <w:t>fairly summarize all relevant evidence</w:t>
      </w:r>
      <w:r w:rsidR="00657430" w:rsidRPr="00C45496">
        <w:t xml:space="preserve"> and</w:t>
      </w:r>
      <w:r w:rsidR="0068514C" w:rsidRPr="00C45496">
        <w:t xml:space="preserve"> </w:t>
      </w:r>
      <w:r w:rsidR="007F662B" w:rsidRPr="00C45496">
        <w:t>may</w:t>
      </w:r>
      <w:r w:rsidR="0068514C" w:rsidRPr="00C45496">
        <w:t xml:space="preserve"> include the following</w:t>
      </w:r>
      <w:r w:rsidR="00F414C4" w:rsidRPr="00C45496">
        <w:t xml:space="preserve"> content</w:t>
      </w:r>
      <w:r w:rsidR="0068514C" w:rsidRPr="00C45496">
        <w:t>:</w:t>
      </w:r>
    </w:p>
    <w:p w14:paraId="12A2C53D" w14:textId="77777777" w:rsidR="0068514C" w:rsidRPr="00C45496" w:rsidRDefault="0068514C" w:rsidP="0068514C">
      <w:pPr>
        <w:pStyle w:val="bullet-level1"/>
      </w:pPr>
      <w:r w:rsidRPr="00C45496">
        <w:t xml:space="preserve">Identification of the allegations potentially constituting sexual harassment; </w:t>
      </w:r>
    </w:p>
    <w:p w14:paraId="6A329E73" w14:textId="31D18A14" w:rsidR="0068514C" w:rsidRPr="00C45496" w:rsidRDefault="0068514C" w:rsidP="0068514C">
      <w:pPr>
        <w:pStyle w:val="bullet-level1"/>
      </w:pPr>
      <w:r w:rsidRPr="00C45496">
        <w:t xml:space="preserve">Any procedural steps taken </w:t>
      </w:r>
      <w:r w:rsidR="00657430" w:rsidRPr="00C45496">
        <w:t xml:space="preserve">by Title IX personnel </w:t>
      </w:r>
      <w:r w:rsidRPr="00C45496">
        <w:t xml:space="preserve">from the receipt of the formal complaint through the </w:t>
      </w:r>
      <w:r w:rsidR="00855738" w:rsidRPr="00C45496">
        <w:t>conclusion of the investigation</w:t>
      </w:r>
      <w:r w:rsidRPr="00C45496">
        <w:t>, including any notifications to the parties</w:t>
      </w:r>
      <w:r w:rsidR="002419F2" w:rsidRPr="00C45496">
        <w:t xml:space="preserve">, interviews, site visits, </w:t>
      </w:r>
      <w:r w:rsidR="00657430" w:rsidRPr="00C45496">
        <w:t xml:space="preserve">and </w:t>
      </w:r>
      <w:r w:rsidR="002419F2" w:rsidRPr="00C45496">
        <w:t>methods used to gather evidence</w:t>
      </w:r>
      <w:r w:rsidRPr="00C45496">
        <w:t xml:space="preserve">; </w:t>
      </w:r>
    </w:p>
    <w:p w14:paraId="5F084725" w14:textId="718B53D9" w:rsidR="0068514C" w:rsidRPr="00C45496" w:rsidRDefault="0068514C" w:rsidP="0068514C">
      <w:pPr>
        <w:pStyle w:val="bullet-level1"/>
      </w:pPr>
      <w:r w:rsidRPr="00C45496">
        <w:t>Responses of each party</w:t>
      </w:r>
      <w:r w:rsidR="002419F2" w:rsidRPr="00C45496">
        <w:t xml:space="preserve"> to the allegations in the formal complaint</w:t>
      </w:r>
      <w:r w:rsidRPr="00C45496">
        <w:t xml:space="preserve">; </w:t>
      </w:r>
    </w:p>
    <w:p w14:paraId="52AC8E2A" w14:textId="5A8C3B0B" w:rsidR="0068514C" w:rsidRPr="00C45496" w:rsidRDefault="0068514C" w:rsidP="0068514C">
      <w:pPr>
        <w:pStyle w:val="bullet-level1"/>
      </w:pPr>
      <w:r w:rsidRPr="00C45496">
        <w:t xml:space="preserve">Evidence obtained by </w:t>
      </w:r>
      <w:r w:rsidR="00083E3E" w:rsidRPr="00C45496">
        <w:t>TSBVI</w:t>
      </w:r>
      <w:r w:rsidRPr="00C45496">
        <w:t xml:space="preserve">; </w:t>
      </w:r>
    </w:p>
    <w:p w14:paraId="453B56FD" w14:textId="77777777" w:rsidR="0068514C" w:rsidRPr="00C45496" w:rsidRDefault="0068514C" w:rsidP="0068514C">
      <w:pPr>
        <w:pStyle w:val="bullet-level1"/>
      </w:pPr>
      <w:r w:rsidRPr="00C45496">
        <w:t xml:space="preserve">Relevant evidence considered by the investigator; </w:t>
      </w:r>
    </w:p>
    <w:p w14:paraId="5D55D0B5" w14:textId="58366A9C" w:rsidR="002419F2" w:rsidRPr="00C45496" w:rsidRDefault="00657430" w:rsidP="0068514C">
      <w:pPr>
        <w:pStyle w:val="bullet-level1"/>
      </w:pPr>
      <w:r w:rsidRPr="00C45496">
        <w:lastRenderedPageBreak/>
        <w:t>The parties’ responses to the evidence after review and inspection</w:t>
      </w:r>
      <w:r w:rsidR="0068514C" w:rsidRPr="00C45496">
        <w:t xml:space="preserve">; </w:t>
      </w:r>
    </w:p>
    <w:p w14:paraId="3AA4BDC9" w14:textId="4CF3F79E" w:rsidR="00E930A6" w:rsidRPr="00C45496" w:rsidRDefault="00E930A6" w:rsidP="0068514C">
      <w:pPr>
        <w:pStyle w:val="bullet-level1"/>
      </w:pPr>
      <w:r w:rsidRPr="00C45496">
        <w:t>Findings of fact; and</w:t>
      </w:r>
    </w:p>
    <w:p w14:paraId="7BEC3201" w14:textId="1A56C2B8" w:rsidR="00855738" w:rsidRPr="00C45496" w:rsidRDefault="0068514C" w:rsidP="0068514C">
      <w:pPr>
        <w:pStyle w:val="bullet-level1"/>
      </w:pPr>
      <w:r w:rsidRPr="00C45496">
        <w:t xml:space="preserve">Identification of any </w:t>
      </w:r>
      <w:r w:rsidR="00083E3E" w:rsidRPr="00C45496">
        <w:t>TSBVI</w:t>
      </w:r>
      <w:r w:rsidRPr="00C45496">
        <w:t xml:space="preserve"> policies or codes of conduct implicated by the facts, including referrals to FFH for </w:t>
      </w:r>
      <w:r w:rsidR="00FB2D12" w:rsidRPr="00C45496">
        <w:t xml:space="preserve">Investigations for Reports </w:t>
      </w:r>
      <w:r w:rsidRPr="00C45496">
        <w:t xml:space="preserve">Other Than Title IX, FFI, or other </w:t>
      </w:r>
      <w:r w:rsidR="00083E3E" w:rsidRPr="00C45496">
        <w:t>TSBVI</w:t>
      </w:r>
      <w:r w:rsidRPr="00C45496">
        <w:t xml:space="preserve"> processes initiated as a result of the investigation</w:t>
      </w:r>
      <w:r w:rsidR="00083E3E" w:rsidRPr="00C45496">
        <w:t>.</w:t>
      </w:r>
    </w:p>
    <w:p w14:paraId="53CC3D1B" w14:textId="60747C29" w:rsidR="00777F9A" w:rsidRPr="00C45496" w:rsidRDefault="00780F44" w:rsidP="00777F9A">
      <w:pPr>
        <w:pStyle w:val="local1"/>
      </w:pPr>
      <w:r w:rsidRPr="00C45496">
        <w:t xml:space="preserve">The investigator will </w:t>
      </w:r>
      <w:r w:rsidR="007F662B" w:rsidRPr="00C45496">
        <w:t xml:space="preserve">simultaneously </w:t>
      </w:r>
      <w:r w:rsidRPr="00C45496">
        <w:t xml:space="preserve">provide </w:t>
      </w:r>
      <w:r w:rsidR="00657430" w:rsidRPr="00C45496">
        <w:t xml:space="preserve">the investigation report </w:t>
      </w:r>
      <w:r w:rsidRPr="00C45496">
        <w:t>to both parties</w:t>
      </w:r>
      <w:r w:rsidR="007F662B" w:rsidRPr="00C45496">
        <w:t xml:space="preserve">. </w:t>
      </w:r>
      <w:r w:rsidR="00B558F1" w:rsidRPr="00C45496">
        <w:t>The investigator also</w:t>
      </w:r>
      <w:r w:rsidR="00777F9A" w:rsidRPr="00C45496">
        <w:t xml:space="preserve"> will</w:t>
      </w:r>
      <w:r w:rsidR="00B558F1" w:rsidRPr="00C45496">
        <w:t xml:space="preserve"> send a copy of the investigation report to the Title IX Coordinator, who immediately</w:t>
      </w:r>
      <w:r w:rsidR="00777F9A" w:rsidRPr="00C45496">
        <w:t xml:space="preserve"> will</w:t>
      </w:r>
      <w:r w:rsidR="00B558F1" w:rsidRPr="00C45496">
        <w:t xml:space="preserve"> assign a decision</w:t>
      </w:r>
      <w:r w:rsidR="00855738" w:rsidRPr="00C45496">
        <w:t>-</w:t>
      </w:r>
      <w:r w:rsidR="00B558F1" w:rsidRPr="00C45496">
        <w:t>maker and provide the decision</w:t>
      </w:r>
      <w:r w:rsidR="00855738" w:rsidRPr="00C45496">
        <w:t>-</w:t>
      </w:r>
      <w:r w:rsidR="00B558F1" w:rsidRPr="00C45496">
        <w:t>maker with a copy of the investigation report.</w:t>
      </w:r>
    </w:p>
    <w:p w14:paraId="5E8FEBD1" w14:textId="08DF1017" w:rsidR="00780F44" w:rsidRPr="00C45496" w:rsidRDefault="00780F44" w:rsidP="003D275D">
      <w:pPr>
        <w:pStyle w:val="margin1"/>
        <w:framePr w:wrap="around"/>
      </w:pPr>
      <w:r w:rsidRPr="00C45496">
        <w:t xml:space="preserve">Determination </w:t>
      </w:r>
      <w:r w:rsidR="00914D5B" w:rsidRPr="00C45496">
        <w:t xml:space="preserve">Regarding </w:t>
      </w:r>
      <w:r w:rsidRPr="00C45496">
        <w:t>Responsibility</w:t>
      </w:r>
    </w:p>
    <w:p w14:paraId="52568C90" w14:textId="231926C9" w:rsidR="00780F44" w:rsidRPr="00C45496" w:rsidRDefault="00375412" w:rsidP="00780F44">
      <w:pPr>
        <w:pStyle w:val="local1"/>
      </w:pPr>
      <w:r w:rsidRPr="00C45496">
        <w:t xml:space="preserve">A </w:t>
      </w:r>
      <w:r w:rsidR="00061019" w:rsidRPr="00C45496">
        <w:t>decision</w:t>
      </w:r>
      <w:r w:rsidR="00855738" w:rsidRPr="00C45496">
        <w:t>-</w:t>
      </w:r>
      <w:r w:rsidR="00061019" w:rsidRPr="00C45496">
        <w:t xml:space="preserve">maker </w:t>
      </w:r>
      <w:r w:rsidRPr="00C45496">
        <w:t xml:space="preserve">designated by the Title IX Coordinator </w:t>
      </w:r>
      <w:r w:rsidR="00061019" w:rsidRPr="00C45496">
        <w:t xml:space="preserve">will </w:t>
      </w:r>
      <w:r w:rsidR="00780F44" w:rsidRPr="00C45496">
        <w:t xml:space="preserve">make </w:t>
      </w:r>
      <w:r w:rsidR="000456BB" w:rsidRPr="00C45496">
        <w:t>an independent</w:t>
      </w:r>
      <w:r w:rsidR="00780F44" w:rsidRPr="00C45496">
        <w:t xml:space="preserve"> determination </w:t>
      </w:r>
      <w:r w:rsidR="00914D5B" w:rsidRPr="00C45496">
        <w:t>regarding</w:t>
      </w:r>
      <w:r w:rsidR="00780F44" w:rsidRPr="00C45496">
        <w:t xml:space="preserve"> a respondent’s responsibility for alleged </w:t>
      </w:r>
      <w:r w:rsidR="00B10F46" w:rsidRPr="00C45496">
        <w:t>sexual</w:t>
      </w:r>
      <w:r w:rsidR="00780F44" w:rsidRPr="00C45496">
        <w:t xml:space="preserve"> harassment. The decision</w:t>
      </w:r>
      <w:r w:rsidR="00855738" w:rsidRPr="00C45496">
        <w:t>-</w:t>
      </w:r>
      <w:r w:rsidR="00780F44" w:rsidRPr="00C45496">
        <w:t xml:space="preserve">maker cannot be </w:t>
      </w:r>
      <w:r w:rsidR="00083E3E" w:rsidRPr="00C45496">
        <w:t xml:space="preserve">TSBVI’s </w:t>
      </w:r>
      <w:r w:rsidR="00780F44" w:rsidRPr="00C45496">
        <w:t xml:space="preserve">Title IX Coordinator or the investigator who investigated the complaint at issue. </w:t>
      </w:r>
    </w:p>
    <w:p w14:paraId="55BAD8CB" w14:textId="5D731EBD" w:rsidR="00B558F1" w:rsidRPr="00C45496" w:rsidRDefault="00F414C4" w:rsidP="00780F44">
      <w:pPr>
        <w:pStyle w:val="local1"/>
      </w:pPr>
      <w:r w:rsidRPr="00C45496">
        <w:t>In accordance with law, t</w:t>
      </w:r>
      <w:r w:rsidR="00B558F1" w:rsidRPr="00C45496">
        <w:t>he determination of responsibility may not be issued earlier than 10 days from the date the parties receive</w:t>
      </w:r>
      <w:r w:rsidRPr="00C45496">
        <w:t>d</w:t>
      </w:r>
      <w:r w:rsidR="00B558F1" w:rsidRPr="00C45496">
        <w:t xml:space="preserve"> the final investigation report from the investigator</w:t>
      </w:r>
      <w:r w:rsidR="000456BB" w:rsidRPr="00C45496">
        <w:t>.</w:t>
      </w:r>
    </w:p>
    <w:p w14:paraId="5D5B4FC5" w14:textId="3BE76420" w:rsidR="00780F44" w:rsidRPr="00C45496" w:rsidRDefault="00780F44" w:rsidP="00780F44">
      <w:pPr>
        <w:pStyle w:val="local1"/>
      </w:pPr>
      <w:r w:rsidRPr="00C45496">
        <w:t>After both parties have received the investigative report</w:t>
      </w:r>
      <w:r w:rsidR="004859A7" w:rsidRPr="00C45496">
        <w:t xml:space="preserve"> and prior to a determination regarding responsibility</w:t>
      </w:r>
      <w:r w:rsidRPr="00C45496">
        <w:t>, the decision</w:t>
      </w:r>
      <w:r w:rsidR="000456BB" w:rsidRPr="00C45496">
        <w:t>-</w:t>
      </w:r>
      <w:r w:rsidRPr="00C45496">
        <w:t xml:space="preserve">maker will notify each party of the opportunity to submit written, relevant questions that a party wants asked of any party or witness noted in the investigation report. </w:t>
      </w:r>
      <w:r w:rsidR="00C65D2E" w:rsidRPr="00C45496">
        <w:t xml:space="preserve">The decision-maker shall ensure that questioning is relevant, respectful, and non-abusive. </w:t>
      </w:r>
      <w:r w:rsidR="0030683E" w:rsidRPr="00C45496">
        <w:t>In order to maintain a reasonably prompt timeline, t</w:t>
      </w:r>
      <w:r w:rsidRPr="00C45496">
        <w:t xml:space="preserve">he </w:t>
      </w:r>
      <w:r w:rsidR="0030683E" w:rsidRPr="00C45496">
        <w:t xml:space="preserve">decision-maker may give </w:t>
      </w:r>
      <w:r w:rsidRPr="00C45496">
        <w:t>addressed part</w:t>
      </w:r>
      <w:r w:rsidR="0030683E" w:rsidRPr="00C45496">
        <w:t>ies</w:t>
      </w:r>
      <w:r w:rsidRPr="00C45496">
        <w:t xml:space="preserve"> or witness</w:t>
      </w:r>
      <w:r w:rsidR="0030683E" w:rsidRPr="00C45496">
        <w:t>es</w:t>
      </w:r>
      <w:r w:rsidRPr="00C45496">
        <w:t xml:space="preserve"> </w:t>
      </w:r>
      <w:r w:rsidR="0030683E" w:rsidRPr="00C45496">
        <w:t xml:space="preserve">a reasonable </w:t>
      </w:r>
      <w:r w:rsidR="00E930A6" w:rsidRPr="00C45496">
        <w:t xml:space="preserve">and equitable </w:t>
      </w:r>
      <w:r w:rsidR="0030683E" w:rsidRPr="00C45496">
        <w:t>deadline</w:t>
      </w:r>
      <w:r w:rsidR="00D10933" w:rsidRPr="00C45496">
        <w:t xml:space="preserve"> </w:t>
      </w:r>
      <w:r w:rsidRPr="00C45496">
        <w:t xml:space="preserve">to provide answers in response. </w:t>
      </w:r>
      <w:r w:rsidR="0030683E" w:rsidRPr="00C45496">
        <w:t xml:space="preserve">In consultation with the Title IX Coordinator, the decision-maker may also extend the timeline for good cause. </w:t>
      </w:r>
      <w:r w:rsidR="00777F9A" w:rsidRPr="00C45496">
        <w:t>A party</w:t>
      </w:r>
      <w:r w:rsidR="000456BB" w:rsidRPr="00C45496">
        <w:t xml:space="preserve"> or witness</w:t>
      </w:r>
      <w:r w:rsidR="00777F9A" w:rsidRPr="00C45496">
        <w:t xml:space="preserve"> is not required to respond to any questions posed by the other party. </w:t>
      </w:r>
      <w:r w:rsidR="00F414C4" w:rsidRPr="00C45496">
        <w:t>As determined by the decision</w:t>
      </w:r>
      <w:r w:rsidR="000456BB" w:rsidRPr="00C45496">
        <w:t>-</w:t>
      </w:r>
      <w:r w:rsidR="00F414C4" w:rsidRPr="00C45496">
        <w:t>maker, t</w:t>
      </w:r>
      <w:r w:rsidRPr="00C45496">
        <w:t xml:space="preserve">he parties may reasonably exchange additional, limited follow-up questions. </w:t>
      </w:r>
    </w:p>
    <w:p w14:paraId="39797A6A" w14:textId="23CC6435" w:rsidR="00C65D2E" w:rsidRPr="00C45496" w:rsidRDefault="00C65D2E" w:rsidP="00C65D2E">
      <w:pPr>
        <w:pStyle w:val="margin2"/>
        <w:framePr w:wrap="around"/>
      </w:pPr>
      <w:r w:rsidRPr="00C45496">
        <w:t>Prior Sexual Behavior</w:t>
      </w:r>
    </w:p>
    <w:p w14:paraId="6CFA964B" w14:textId="75CAB157" w:rsidR="00780F44" w:rsidRPr="00C45496" w:rsidRDefault="00061019" w:rsidP="00780F44">
      <w:pPr>
        <w:pStyle w:val="local1"/>
      </w:pPr>
      <w:r w:rsidRPr="00C45496">
        <w:t>In reaching a final determination, the d</w:t>
      </w:r>
      <w:r w:rsidR="00780F44" w:rsidRPr="00C45496">
        <w:t>ecision</w:t>
      </w:r>
      <w:r w:rsidR="000456BB" w:rsidRPr="00C45496">
        <w:t>-</w:t>
      </w:r>
      <w:r w:rsidR="00780F44" w:rsidRPr="00C45496">
        <w:t>maker</w:t>
      </w:r>
      <w:r w:rsidRPr="00C45496">
        <w:t xml:space="preserve"> will</w:t>
      </w:r>
      <w:r w:rsidR="00780F44" w:rsidRPr="00C45496">
        <w:t xml:space="preserve"> not consider relevant any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w:t>
      </w:r>
      <w:r w:rsidR="00780F44" w:rsidRPr="00C45496">
        <w:lastRenderedPageBreak/>
        <w:t>sexual behavior with respect to the respondent and are offered to prove consent</w:t>
      </w:r>
      <w:r w:rsidR="004B3DDD" w:rsidRPr="00C45496">
        <w:t xml:space="preserve"> to sexual contact</w:t>
      </w:r>
      <w:r w:rsidR="00780F44" w:rsidRPr="00C45496">
        <w:t xml:space="preserve">. </w:t>
      </w:r>
    </w:p>
    <w:p w14:paraId="342DA551" w14:textId="3D1321D3" w:rsidR="0032681E" w:rsidRPr="00C45496" w:rsidRDefault="0032681E" w:rsidP="00780F44">
      <w:pPr>
        <w:pStyle w:val="local1"/>
      </w:pPr>
      <w:r w:rsidRPr="00C45496">
        <w:t>The decision-maker must explain to the party proposing the questions any decision to exclude a question as not relevant.</w:t>
      </w:r>
    </w:p>
    <w:p w14:paraId="17EAB529" w14:textId="634BEC38" w:rsidR="00F26CAC" w:rsidRPr="00C45496" w:rsidRDefault="00F26CAC" w:rsidP="000F2601">
      <w:pPr>
        <w:pStyle w:val="margin2"/>
        <w:framePr w:wrap="around"/>
      </w:pPr>
      <w:r w:rsidRPr="00C45496">
        <w:t xml:space="preserve">Written </w:t>
      </w:r>
      <w:r w:rsidR="00F414C4" w:rsidRPr="00C45496">
        <w:t>Determination</w:t>
      </w:r>
    </w:p>
    <w:p w14:paraId="46AE05DC" w14:textId="6FE20929" w:rsidR="0030683E" w:rsidRPr="00C45496" w:rsidRDefault="00780F44" w:rsidP="00780F44">
      <w:pPr>
        <w:pStyle w:val="local1"/>
      </w:pPr>
      <w:r w:rsidRPr="00C45496">
        <w:t xml:space="preserve">The </w:t>
      </w:r>
      <w:r w:rsidR="00061019" w:rsidRPr="00C45496">
        <w:t>decision</w:t>
      </w:r>
      <w:r w:rsidR="0032681E" w:rsidRPr="00C45496">
        <w:t>-</w:t>
      </w:r>
      <w:r w:rsidR="00061019" w:rsidRPr="00C45496">
        <w:t xml:space="preserve">maker will issue </w:t>
      </w:r>
      <w:r w:rsidR="0030683E" w:rsidRPr="00C45496">
        <w:t>a</w:t>
      </w:r>
      <w:r w:rsidR="00061019" w:rsidRPr="00C45496">
        <w:t xml:space="preserve"> </w:t>
      </w:r>
      <w:r w:rsidRPr="00C45496">
        <w:t xml:space="preserve">determination </w:t>
      </w:r>
      <w:r w:rsidR="00914D5B" w:rsidRPr="00C45496">
        <w:t>regarding</w:t>
      </w:r>
      <w:r w:rsidRPr="00C45496">
        <w:t xml:space="preserve"> responsibility</w:t>
      </w:r>
      <w:r w:rsidR="0030683E" w:rsidRPr="00C45496">
        <w:t xml:space="preserve"> for the alleged conduct</w:t>
      </w:r>
      <w:r w:rsidRPr="00C45496">
        <w:t xml:space="preserve"> </w:t>
      </w:r>
      <w:r w:rsidR="00A32116" w:rsidRPr="00C45496">
        <w:t>in a reasonably prompt manner after</w:t>
      </w:r>
      <w:r w:rsidR="00375412" w:rsidRPr="00C45496">
        <w:t xml:space="preserve"> the date all questions, answers, and supporting documentation were requested to be submitted to the decision</w:t>
      </w:r>
      <w:r w:rsidR="0032681E" w:rsidRPr="00C45496">
        <w:t>-</w:t>
      </w:r>
      <w:r w:rsidR="00375412" w:rsidRPr="00C45496">
        <w:t xml:space="preserve">maker. </w:t>
      </w:r>
      <w:r w:rsidR="00621137" w:rsidRPr="00C45496">
        <w:t xml:space="preserve">Absent good cause for </w:t>
      </w:r>
      <w:r w:rsidR="002615AE" w:rsidRPr="00C45496">
        <w:t xml:space="preserve">TSBVI </w:t>
      </w:r>
      <w:r w:rsidR="00621137" w:rsidRPr="00C45496">
        <w:t xml:space="preserve">to delay an investigation, the decision-maker will issue the written determination of responsibility within the time frame specified above at Time Frame for Formal Complaint Process. </w:t>
      </w:r>
    </w:p>
    <w:p w14:paraId="0390164D" w14:textId="7C9B0CC9" w:rsidR="0030683E" w:rsidRPr="00C45496" w:rsidRDefault="0030683E" w:rsidP="0030683E">
      <w:pPr>
        <w:pStyle w:val="local1"/>
      </w:pPr>
      <w:r w:rsidRPr="00C45496">
        <w:t>The written determination of responsibility will include:</w:t>
      </w:r>
    </w:p>
    <w:p w14:paraId="0430A24B" w14:textId="4909445A" w:rsidR="00780F44" w:rsidRPr="00C45496" w:rsidRDefault="00780F44" w:rsidP="00780F44">
      <w:pPr>
        <w:pStyle w:val="local1"/>
        <w:numPr>
          <w:ilvl w:val="0"/>
          <w:numId w:val="34"/>
        </w:numPr>
      </w:pPr>
      <w:r w:rsidRPr="00C45496">
        <w:t xml:space="preserve">Identification of the allegations potentially constituting </w:t>
      </w:r>
      <w:r w:rsidR="00B10F46" w:rsidRPr="00C45496">
        <w:t>sexual</w:t>
      </w:r>
      <w:r w:rsidRPr="00C45496">
        <w:t xml:space="preserve"> harassment;</w:t>
      </w:r>
    </w:p>
    <w:p w14:paraId="58CEB8F6" w14:textId="77777777" w:rsidR="00780F44" w:rsidRPr="00C45496" w:rsidRDefault="00780F44" w:rsidP="00780F44">
      <w:pPr>
        <w:pStyle w:val="local1"/>
        <w:numPr>
          <w:ilvl w:val="0"/>
          <w:numId w:val="34"/>
        </w:numPr>
      </w:pPr>
      <w:r w:rsidRPr="00C45496">
        <w:t>A description of the procedural steps taken from the receipt of the formal complaint through the determination, including any notifications to the parties, interviews with parties and witnesses, site visits, and methods used to gather other evidence;</w:t>
      </w:r>
    </w:p>
    <w:p w14:paraId="01B3450B" w14:textId="77777777" w:rsidR="00780F44" w:rsidRPr="00C45496" w:rsidRDefault="00780F44" w:rsidP="00780F44">
      <w:pPr>
        <w:pStyle w:val="local1"/>
        <w:numPr>
          <w:ilvl w:val="0"/>
          <w:numId w:val="34"/>
        </w:numPr>
      </w:pPr>
      <w:r w:rsidRPr="00C45496">
        <w:t>Findings of fact supporting the determination;</w:t>
      </w:r>
    </w:p>
    <w:p w14:paraId="556C7928" w14:textId="3C3CEEF6" w:rsidR="00780F44" w:rsidRPr="00C45496" w:rsidRDefault="00780F44" w:rsidP="00780F44">
      <w:pPr>
        <w:pStyle w:val="local1"/>
        <w:numPr>
          <w:ilvl w:val="0"/>
          <w:numId w:val="34"/>
        </w:numPr>
      </w:pPr>
      <w:r w:rsidRPr="00C45496">
        <w:t xml:space="preserve">Conclusions regarding the application of </w:t>
      </w:r>
      <w:r w:rsidR="00805EFE" w:rsidRPr="00C45496">
        <w:t xml:space="preserve">TSBVI’s </w:t>
      </w:r>
      <w:r w:rsidR="00B10F46" w:rsidRPr="00C45496">
        <w:t xml:space="preserve">applicable </w:t>
      </w:r>
      <w:r w:rsidRPr="00C45496">
        <w:t xml:space="preserve">code of conduct </w:t>
      </w:r>
      <w:r w:rsidR="00B10F46" w:rsidRPr="00C45496">
        <w:t xml:space="preserve">or other policy </w:t>
      </w:r>
      <w:r w:rsidRPr="00C45496">
        <w:t>to the facts;</w:t>
      </w:r>
    </w:p>
    <w:p w14:paraId="3D70DC49" w14:textId="5B6AE3F3" w:rsidR="00780F44" w:rsidRPr="00C45496" w:rsidRDefault="00780F44" w:rsidP="00780F44">
      <w:pPr>
        <w:pStyle w:val="local1"/>
        <w:numPr>
          <w:ilvl w:val="0"/>
          <w:numId w:val="34"/>
        </w:numPr>
      </w:pPr>
      <w:r w:rsidRPr="00C45496">
        <w:t xml:space="preserve">A statement of, and rationale for, the result as to each allegation, including a determination regarding responsibility, any </w:t>
      </w:r>
      <w:r w:rsidR="00BB45F1" w:rsidRPr="00C45496">
        <w:t>Title IX</w:t>
      </w:r>
      <w:r w:rsidR="00C51076" w:rsidRPr="00C45496">
        <w:t xml:space="preserve"> </w:t>
      </w:r>
      <w:r w:rsidRPr="00C45496">
        <w:t xml:space="preserve">disciplinary sanctions </w:t>
      </w:r>
      <w:r w:rsidR="00805EFE" w:rsidRPr="00C45496">
        <w:t xml:space="preserve">TSBVI </w:t>
      </w:r>
      <w:r w:rsidR="00E930A6" w:rsidRPr="00C45496">
        <w:t>will</w:t>
      </w:r>
      <w:r w:rsidR="00C51076" w:rsidRPr="00C45496">
        <w:t xml:space="preserve"> </w:t>
      </w:r>
      <w:r w:rsidRPr="00C45496">
        <w:t xml:space="preserve">impose on the respondent, and whether remedies designed to restore or preserve equal access to </w:t>
      </w:r>
      <w:r w:rsidR="00805EFE" w:rsidRPr="00C45496">
        <w:t xml:space="preserve">TSBVI’s </w:t>
      </w:r>
      <w:r w:rsidRPr="00C45496">
        <w:t>education program or activity will be provided to the complainant; and</w:t>
      </w:r>
    </w:p>
    <w:p w14:paraId="7A3112A7" w14:textId="4A64C535" w:rsidR="00B15516" w:rsidRPr="00C45496" w:rsidRDefault="00780F44" w:rsidP="006E2500">
      <w:pPr>
        <w:pStyle w:val="local1"/>
        <w:numPr>
          <w:ilvl w:val="0"/>
          <w:numId w:val="34"/>
        </w:numPr>
      </w:pPr>
      <w:r w:rsidRPr="00C45496">
        <w:t>The procedures and permissible bases for the complainant and respondent to appeal the determination.</w:t>
      </w:r>
    </w:p>
    <w:p w14:paraId="16EE5846" w14:textId="11E6C303" w:rsidR="00C51076" w:rsidRPr="00C45496" w:rsidRDefault="00C51076" w:rsidP="00C51076">
      <w:pPr>
        <w:pStyle w:val="local1"/>
      </w:pPr>
      <w:r w:rsidRPr="00C45496">
        <w:t xml:space="preserve">The determination of responsibility, and any recommended </w:t>
      </w:r>
      <w:r w:rsidR="00BB45F1" w:rsidRPr="00C45496">
        <w:t xml:space="preserve">Title IX </w:t>
      </w:r>
      <w:r w:rsidRPr="00C45496">
        <w:t>disciplinary sanctions therein, is not final or effective until after the period for appeal is over in accordance with these procedures at Appeal of Determination.</w:t>
      </w:r>
    </w:p>
    <w:p w14:paraId="0AF8CAF0" w14:textId="7E1E7CD0" w:rsidR="00780F44" w:rsidRPr="00C45496" w:rsidRDefault="00780F44" w:rsidP="009C6924">
      <w:pPr>
        <w:pStyle w:val="margin1"/>
        <w:framePr w:wrap="around"/>
      </w:pPr>
      <w:r w:rsidRPr="00C45496">
        <w:t>Appeal</w:t>
      </w:r>
      <w:r w:rsidR="00A32116" w:rsidRPr="00C45496">
        <w:t>s</w:t>
      </w:r>
    </w:p>
    <w:p w14:paraId="7846BD60" w14:textId="2582B52C" w:rsidR="006502AE" w:rsidRPr="00C45496" w:rsidRDefault="00375412" w:rsidP="00780F44">
      <w:pPr>
        <w:pStyle w:val="list-level1"/>
        <w:numPr>
          <w:ilvl w:val="0"/>
          <w:numId w:val="0"/>
        </w:numPr>
      </w:pPr>
      <w:r w:rsidRPr="00C45496">
        <w:t>In accordance with law and local policy, e</w:t>
      </w:r>
      <w:r w:rsidR="00780F44" w:rsidRPr="00C45496">
        <w:t xml:space="preserve">ither party may appeal the written determination </w:t>
      </w:r>
      <w:r w:rsidR="00914D5B" w:rsidRPr="00C45496">
        <w:t xml:space="preserve">regarding </w:t>
      </w:r>
      <w:r w:rsidR="00780F44" w:rsidRPr="00C45496">
        <w:t>responsibility or a dismissal of a formal complaint or any allegations therein</w:t>
      </w:r>
      <w:r w:rsidR="008B128A" w:rsidRPr="00C45496">
        <w:t xml:space="preserve"> on the following bases:</w:t>
      </w:r>
    </w:p>
    <w:p w14:paraId="42EDD4F8" w14:textId="77777777" w:rsidR="006502AE" w:rsidRPr="00C45496" w:rsidRDefault="006502AE" w:rsidP="006502AE">
      <w:pPr>
        <w:pStyle w:val="list-level1"/>
        <w:numPr>
          <w:ilvl w:val="0"/>
          <w:numId w:val="34"/>
        </w:numPr>
      </w:pPr>
      <w:r w:rsidRPr="00C45496">
        <w:lastRenderedPageBreak/>
        <w:t>Procedural irregularity that affected the outcome of the matter;</w:t>
      </w:r>
    </w:p>
    <w:p w14:paraId="390FF593" w14:textId="21874115" w:rsidR="006502AE" w:rsidRPr="00C45496" w:rsidRDefault="006502AE" w:rsidP="006502AE">
      <w:pPr>
        <w:pStyle w:val="list-level1"/>
        <w:numPr>
          <w:ilvl w:val="0"/>
          <w:numId w:val="34"/>
        </w:numPr>
      </w:pPr>
      <w:r w:rsidRPr="00C45496">
        <w:t xml:space="preserve">New evidence that was not reasonably available at the time the determination regarding responsibility or dismissal was made, that could affect the outcome of the matter; </w:t>
      </w:r>
      <w:r w:rsidR="008B128A" w:rsidRPr="00C45496">
        <w:t>or</w:t>
      </w:r>
    </w:p>
    <w:p w14:paraId="344CED2F" w14:textId="22DFE2FB" w:rsidR="006502AE" w:rsidRPr="00C45496" w:rsidRDefault="006502AE" w:rsidP="006502AE">
      <w:pPr>
        <w:pStyle w:val="list-level1"/>
        <w:numPr>
          <w:ilvl w:val="0"/>
          <w:numId w:val="34"/>
        </w:numPr>
      </w:pPr>
      <w:r w:rsidRPr="00C45496">
        <w:t>The Title IX Coordinator, investigator, or decision-maker had a conflict of interest or bias for or against complainants or respondents generally or the individual complainant or respondent that affected the outcome of the matter.</w:t>
      </w:r>
    </w:p>
    <w:p w14:paraId="40BB8A9A" w14:textId="10E249CA" w:rsidR="00780F44" w:rsidRPr="00C45496" w:rsidRDefault="00780F44" w:rsidP="00780F44">
      <w:pPr>
        <w:pStyle w:val="list-level1"/>
        <w:numPr>
          <w:ilvl w:val="0"/>
          <w:numId w:val="0"/>
        </w:numPr>
      </w:pPr>
      <w:r w:rsidRPr="00C45496">
        <w:t>T</w:t>
      </w:r>
      <w:r w:rsidR="00166F26" w:rsidRPr="00C45496">
        <w:t xml:space="preserve">itle IX </w:t>
      </w:r>
      <w:r w:rsidR="00F414C4" w:rsidRPr="00C45496">
        <w:t>does</w:t>
      </w:r>
      <w:r w:rsidR="00166F26" w:rsidRPr="00C45496">
        <w:t xml:space="preserve"> not require </w:t>
      </w:r>
      <w:r w:rsidR="00805EFE" w:rsidRPr="00C45496">
        <w:t xml:space="preserve">TSBVI </w:t>
      </w:r>
      <w:r w:rsidRPr="00C45496">
        <w:t xml:space="preserve">to accept appeals </w:t>
      </w:r>
      <w:r w:rsidR="00375412" w:rsidRPr="00C45496">
        <w:t>based on any other reasons</w:t>
      </w:r>
      <w:r w:rsidRPr="00C45496">
        <w:t xml:space="preserve">. </w:t>
      </w:r>
    </w:p>
    <w:p w14:paraId="75C119F9" w14:textId="77777777" w:rsidR="00780F44" w:rsidRPr="00C45496" w:rsidRDefault="00780F44" w:rsidP="009C6924">
      <w:pPr>
        <w:pStyle w:val="margin2"/>
        <w:framePr w:wrap="around"/>
      </w:pPr>
      <w:r w:rsidRPr="00C45496">
        <w:t>Appeal Procedures</w:t>
      </w:r>
    </w:p>
    <w:p w14:paraId="0C0E521B" w14:textId="07D7F2BE" w:rsidR="00780F44" w:rsidRPr="00C45496" w:rsidRDefault="00780F44" w:rsidP="00780F44">
      <w:pPr>
        <w:pStyle w:val="list-level1"/>
        <w:numPr>
          <w:ilvl w:val="0"/>
          <w:numId w:val="0"/>
        </w:numPr>
      </w:pPr>
      <w:r w:rsidRPr="00C45496">
        <w:t xml:space="preserve">To initiate an appeal, a party must file a written </w:t>
      </w:r>
      <w:r w:rsidR="00F414C4" w:rsidRPr="00C45496">
        <w:t xml:space="preserve">request for </w:t>
      </w:r>
      <w:r w:rsidRPr="00C45496">
        <w:t xml:space="preserve">appeal with the </w:t>
      </w:r>
      <w:r w:rsidR="00B10F46" w:rsidRPr="00C45496">
        <w:t>Title IX Coordinator</w:t>
      </w:r>
      <w:r w:rsidR="006D06CA" w:rsidRPr="00C45496">
        <w:t xml:space="preserve"> </w:t>
      </w:r>
      <w:r w:rsidRPr="00C45496">
        <w:t>within</w:t>
      </w:r>
      <w:r w:rsidR="00805EFE" w:rsidRPr="00C45496">
        <w:t xml:space="preserve"> 5</w:t>
      </w:r>
      <w:r w:rsidRPr="00C45496">
        <w:t xml:space="preserve"> days of a party’s receipt of the final determination. </w:t>
      </w:r>
    </w:p>
    <w:p w14:paraId="75A3406E" w14:textId="343D086C" w:rsidR="000B23EA" w:rsidRPr="00C45496" w:rsidRDefault="000B23EA" w:rsidP="00780F44">
      <w:pPr>
        <w:pStyle w:val="list-level1"/>
        <w:numPr>
          <w:ilvl w:val="0"/>
          <w:numId w:val="0"/>
        </w:numPr>
      </w:pPr>
      <w:r w:rsidRPr="00C45496">
        <w:t xml:space="preserve">The </w:t>
      </w:r>
      <w:r w:rsidR="00B10F46" w:rsidRPr="00C45496">
        <w:t>Title IX Coordinator</w:t>
      </w:r>
      <w:r w:rsidRPr="00C45496">
        <w:t xml:space="preserve"> will review the request </w:t>
      </w:r>
      <w:r w:rsidR="00B10F46" w:rsidRPr="00C45496">
        <w:t xml:space="preserve">and assign an appropriate </w:t>
      </w:r>
      <w:r w:rsidR="00462625" w:rsidRPr="00C45496">
        <w:t xml:space="preserve">appellate </w:t>
      </w:r>
      <w:r w:rsidR="00B10F46" w:rsidRPr="00C45496">
        <w:t>decision</w:t>
      </w:r>
      <w:r w:rsidR="00E930A6" w:rsidRPr="00C45496">
        <w:t>-</w:t>
      </w:r>
      <w:r w:rsidR="00B10F46" w:rsidRPr="00C45496">
        <w:t>maker</w:t>
      </w:r>
      <w:r w:rsidR="00462625" w:rsidRPr="00C45496">
        <w:t xml:space="preserve"> in compliance with law and policy</w:t>
      </w:r>
      <w:r w:rsidR="00B10F46" w:rsidRPr="00C45496">
        <w:t>.</w:t>
      </w:r>
      <w:r w:rsidR="00706739" w:rsidRPr="00C45496">
        <w:t xml:space="preserve"> If the reason for appealing the </w:t>
      </w:r>
      <w:r w:rsidR="00BE29CA" w:rsidRPr="00C45496">
        <w:t xml:space="preserve">dismissal or </w:t>
      </w:r>
      <w:r w:rsidR="00706739" w:rsidRPr="00C45496">
        <w:t xml:space="preserve">determination of responsibility is not mandatory, </w:t>
      </w:r>
      <w:r w:rsidR="00805EFE" w:rsidRPr="00C45496">
        <w:t xml:space="preserve">TSBVI </w:t>
      </w:r>
      <w:r w:rsidR="00706739" w:rsidRPr="00C45496">
        <w:t>may dismiss the appeal.</w:t>
      </w:r>
    </w:p>
    <w:p w14:paraId="2682EDD8" w14:textId="525429C8" w:rsidR="00780F44" w:rsidRPr="00C45496" w:rsidRDefault="00F414C4" w:rsidP="00780F44">
      <w:pPr>
        <w:pStyle w:val="list-level1"/>
        <w:numPr>
          <w:ilvl w:val="0"/>
          <w:numId w:val="0"/>
        </w:numPr>
      </w:pPr>
      <w:r w:rsidRPr="00C45496">
        <w:t>If the request for an appeal is not dismissed, the Coordinator will designate an appellate decision</w:t>
      </w:r>
      <w:r w:rsidR="00E930A6" w:rsidRPr="00C45496">
        <w:t>-</w:t>
      </w:r>
      <w:r w:rsidRPr="00C45496">
        <w:t xml:space="preserve">maker to proceed. </w:t>
      </w:r>
      <w:r w:rsidR="00780F44" w:rsidRPr="00C45496">
        <w:t xml:space="preserve">The </w:t>
      </w:r>
      <w:r w:rsidR="00462625" w:rsidRPr="00C45496">
        <w:t xml:space="preserve">appellate </w:t>
      </w:r>
      <w:r w:rsidR="00780F44" w:rsidRPr="00C45496">
        <w:t>decision</w:t>
      </w:r>
      <w:r w:rsidR="00E930A6" w:rsidRPr="00C45496">
        <w:t>-</w:t>
      </w:r>
      <w:r w:rsidR="00780F44" w:rsidRPr="00C45496">
        <w:t xml:space="preserve">maker </w:t>
      </w:r>
      <w:r w:rsidR="00462625" w:rsidRPr="00C45496">
        <w:t xml:space="preserve">may </w:t>
      </w:r>
      <w:r w:rsidR="00780F44" w:rsidRPr="00C45496">
        <w:t>not be the same person as the decision-maker that reached the determination regarding responsibility or dismissal, the investigator who investigated the complaint at issue, or the Title IX Coordinator.</w:t>
      </w:r>
    </w:p>
    <w:p w14:paraId="07EB4EC4" w14:textId="13DBD057" w:rsidR="00780F44" w:rsidRPr="00C45496" w:rsidRDefault="000B23EA" w:rsidP="00780F44">
      <w:pPr>
        <w:pStyle w:val="list-level1"/>
        <w:numPr>
          <w:ilvl w:val="0"/>
          <w:numId w:val="0"/>
        </w:numPr>
      </w:pPr>
      <w:r w:rsidRPr="00C45496">
        <w:t xml:space="preserve">The </w:t>
      </w:r>
      <w:r w:rsidR="006F353E" w:rsidRPr="00C45496">
        <w:t>Title IX Coordinator</w:t>
      </w:r>
      <w:r w:rsidRPr="00C45496">
        <w:t xml:space="preserve"> will notify the </w:t>
      </w:r>
      <w:r w:rsidR="00F414C4" w:rsidRPr="00C45496">
        <w:t xml:space="preserve">non-appealing </w:t>
      </w:r>
      <w:r w:rsidRPr="00C45496">
        <w:t xml:space="preserve">party in writing when an appeal is filed and implement appeal procedures equally for both parties. </w:t>
      </w:r>
      <w:r w:rsidR="00780F44" w:rsidRPr="00C45496">
        <w:t xml:space="preserve">Both parties will be provided a reasonable, equal opportunity to submit a written statement in support of, or challenging, the </w:t>
      </w:r>
      <w:r w:rsidR="00E930A6" w:rsidRPr="00C45496">
        <w:t xml:space="preserve">dismissal of a formal complaint or </w:t>
      </w:r>
      <w:r w:rsidR="00375412" w:rsidRPr="00C45496">
        <w:t>determination of responsibility</w:t>
      </w:r>
      <w:r w:rsidR="00780F44" w:rsidRPr="00C45496">
        <w:t>.</w:t>
      </w:r>
    </w:p>
    <w:p w14:paraId="1F2433B0" w14:textId="61D0707D" w:rsidR="00A413B7" w:rsidRPr="00C45496" w:rsidRDefault="00805EFE" w:rsidP="00A413B7">
      <w:pPr>
        <w:pStyle w:val="margin2"/>
        <w:framePr w:wrap="around"/>
      </w:pPr>
      <w:r w:rsidRPr="00C45496">
        <w:t>TSBVI</w:t>
      </w:r>
      <w:r w:rsidR="00A413B7" w:rsidRPr="00C45496">
        <w:t xml:space="preserve"> Response to Appeal of Complaint Dismissal</w:t>
      </w:r>
    </w:p>
    <w:p w14:paraId="4ADFAB32" w14:textId="2444A908" w:rsidR="00A413B7" w:rsidRPr="00C45496" w:rsidRDefault="00BE29CA" w:rsidP="00A413B7">
      <w:pPr>
        <w:pStyle w:val="list-level1"/>
        <w:numPr>
          <w:ilvl w:val="0"/>
          <w:numId w:val="0"/>
        </w:numPr>
      </w:pPr>
      <w:r w:rsidRPr="00C45496">
        <w:t xml:space="preserve">In an appeal of dismissal of a complaint or any allegation therein, </w:t>
      </w:r>
      <w:r w:rsidR="00805EFE" w:rsidRPr="00C45496">
        <w:t xml:space="preserve">TSBVI’s </w:t>
      </w:r>
      <w:r w:rsidR="00DA1842" w:rsidRPr="00C45496">
        <w:t xml:space="preserve">Superintendent, as </w:t>
      </w:r>
      <w:r w:rsidR="00A413B7" w:rsidRPr="00C45496">
        <w:t xml:space="preserve">designated appellate decision-maker will review the request </w:t>
      </w:r>
      <w:r w:rsidRPr="00C45496">
        <w:t xml:space="preserve">for appeal </w:t>
      </w:r>
      <w:r w:rsidR="00A413B7" w:rsidRPr="00C45496">
        <w:t xml:space="preserve">and issue a written decision explaining why the appeal of the dismissal is </w:t>
      </w:r>
      <w:r w:rsidRPr="00C45496">
        <w:t>granted</w:t>
      </w:r>
      <w:r w:rsidR="00A413B7" w:rsidRPr="00C45496">
        <w:t xml:space="preserve"> or denied. The appellate decision-maker may not be the Title IX Coordinator, the investigator, or the decision-maker </w:t>
      </w:r>
      <w:r w:rsidR="009F07F7" w:rsidRPr="00C45496">
        <w:t>assigned to the complaint or allegation at issue</w:t>
      </w:r>
      <w:r w:rsidR="00A413B7" w:rsidRPr="00C45496">
        <w:t>.</w:t>
      </w:r>
    </w:p>
    <w:p w14:paraId="72D458D8" w14:textId="1D62208F" w:rsidR="00A413B7" w:rsidRPr="00C45496" w:rsidRDefault="00A413B7" w:rsidP="00780F44">
      <w:pPr>
        <w:pStyle w:val="list-level1"/>
        <w:numPr>
          <w:ilvl w:val="0"/>
          <w:numId w:val="0"/>
        </w:numPr>
      </w:pPr>
      <w:r w:rsidRPr="00C45496">
        <w:t xml:space="preserve">The written decision of the </w:t>
      </w:r>
      <w:r w:rsidR="00DA1842" w:rsidRPr="00C45496">
        <w:t>Superintendent</w:t>
      </w:r>
      <w:r w:rsidRPr="00C45496">
        <w:t xml:space="preserve"> will provide the rationale for</w:t>
      </w:r>
      <w:r w:rsidR="00805EFE" w:rsidRPr="00C45496">
        <w:t xml:space="preserve"> TSBVI’s </w:t>
      </w:r>
      <w:r w:rsidRPr="00C45496">
        <w:t>response to the complainant’s</w:t>
      </w:r>
      <w:r w:rsidR="00805EFE" w:rsidRPr="00C45496">
        <w:t xml:space="preserve"> appeal of TSBVI’s </w:t>
      </w:r>
      <w:r w:rsidR="009F07F7" w:rsidRPr="00C45496">
        <w:t>dismissal of a</w:t>
      </w:r>
      <w:r w:rsidRPr="00C45496">
        <w:t xml:space="preserve"> formal complaint </w:t>
      </w:r>
      <w:r w:rsidR="009F07F7" w:rsidRPr="00C45496">
        <w:t>or any allegation therein.</w:t>
      </w:r>
      <w:r w:rsidRPr="00C45496">
        <w:t xml:space="preserve"> The decision </w:t>
      </w:r>
      <w:r w:rsidRPr="00C45496">
        <w:lastRenderedPageBreak/>
        <w:t xml:space="preserve">will either instruct the Title IX Coordinator to resume implementation of the Title IX formal complaint process or </w:t>
      </w:r>
      <w:r w:rsidR="009F07F7" w:rsidRPr="00C45496">
        <w:t xml:space="preserve">will </w:t>
      </w:r>
      <w:r w:rsidRPr="00C45496">
        <w:t xml:space="preserve">inform the appealing party of additional options. A copy of this written response will be provided simultaneously to both parties. </w:t>
      </w:r>
    </w:p>
    <w:p w14:paraId="2C90EEFE" w14:textId="289A3DC2" w:rsidR="00375412" w:rsidRPr="00C45496" w:rsidRDefault="00BE29CA" w:rsidP="00A413B7">
      <w:pPr>
        <w:pStyle w:val="margin2"/>
        <w:framePr w:wrap="around"/>
      </w:pPr>
      <w:r w:rsidRPr="00C45496">
        <w:t>Effect of</w:t>
      </w:r>
      <w:r w:rsidR="00375412" w:rsidRPr="00C45496">
        <w:t xml:space="preserve"> Appeal</w:t>
      </w:r>
      <w:r w:rsidR="008E3711" w:rsidRPr="00C45496">
        <w:t xml:space="preserve"> of Determination</w:t>
      </w:r>
      <w:r w:rsidRPr="00C45496">
        <w:t xml:space="preserve"> of Responsibility</w:t>
      </w:r>
    </w:p>
    <w:p w14:paraId="37DF27B8" w14:textId="06774C70" w:rsidR="00EB626C" w:rsidRPr="00C45496" w:rsidRDefault="00697D71" w:rsidP="0084573A">
      <w:r w:rsidRPr="00C45496">
        <w:t xml:space="preserve">If an appeal regarding the determination of responsibility is filed, the determination </w:t>
      </w:r>
      <w:r w:rsidR="00A8210E" w:rsidRPr="00C45496">
        <w:t>does not become</w:t>
      </w:r>
      <w:r w:rsidRPr="00C45496">
        <w:t xml:space="preserve"> final</w:t>
      </w:r>
      <w:r w:rsidR="0084573A" w:rsidRPr="00C45496">
        <w:t>,</w:t>
      </w:r>
      <w:r w:rsidRPr="00C45496">
        <w:t xml:space="preserve"> </w:t>
      </w:r>
      <w:r w:rsidR="00805EFE" w:rsidRPr="00C45496">
        <w:t xml:space="preserve">and TSBVI </w:t>
      </w:r>
      <w:r w:rsidR="00EB626C" w:rsidRPr="00C45496">
        <w:t xml:space="preserve">may not proceed with administering </w:t>
      </w:r>
      <w:r w:rsidR="00BB45F1" w:rsidRPr="00C45496">
        <w:t xml:space="preserve">Title IX </w:t>
      </w:r>
      <w:r w:rsidR="00EB626C" w:rsidRPr="00C45496">
        <w:t xml:space="preserve">disciplinary sanctions or remedies </w:t>
      </w:r>
      <w:r w:rsidR="00166F26" w:rsidRPr="00C45496">
        <w:t xml:space="preserve">based on </w:t>
      </w:r>
      <w:r w:rsidR="00A8210E" w:rsidRPr="00C45496">
        <w:t>t</w:t>
      </w:r>
      <w:r w:rsidR="00EB626C" w:rsidRPr="00C45496">
        <w:t>he determination</w:t>
      </w:r>
      <w:r w:rsidR="0084573A" w:rsidRPr="00C45496">
        <w:t>,</w:t>
      </w:r>
      <w:r w:rsidR="00EB626C" w:rsidRPr="00C45496">
        <w:t xml:space="preserve"> until</w:t>
      </w:r>
      <w:r w:rsidR="0084573A" w:rsidRPr="00C45496">
        <w:t xml:space="preserve"> </w:t>
      </w:r>
      <w:r w:rsidR="00805EFE" w:rsidRPr="00C45496">
        <w:t>the date that TSBVI</w:t>
      </w:r>
      <w:r w:rsidR="00EB626C" w:rsidRPr="00C45496">
        <w:t xml:space="preserve"> provides both parties with the written result of the appeal</w:t>
      </w:r>
      <w:r w:rsidR="0084573A" w:rsidRPr="00C45496">
        <w:t>.</w:t>
      </w:r>
    </w:p>
    <w:p w14:paraId="0C4DC771" w14:textId="1E8D659A" w:rsidR="00EB626C" w:rsidRPr="00C45496" w:rsidRDefault="00697D71" w:rsidP="0084573A">
      <w:r w:rsidRPr="00C45496">
        <w:t xml:space="preserve">If an appeal is not filed, the </w:t>
      </w:r>
      <w:r w:rsidR="0084573A" w:rsidRPr="00C45496">
        <w:t xml:space="preserve">determination of responsibility becomes final on the </w:t>
      </w:r>
      <w:r w:rsidRPr="00C45496">
        <w:t>date on which an appeal of the determination would no longer be considered timely.</w:t>
      </w:r>
      <w:r w:rsidR="002468B8" w:rsidRPr="00C45496">
        <w:t xml:space="preserve"> </w:t>
      </w:r>
    </w:p>
    <w:p w14:paraId="2B329292" w14:textId="08B7B089" w:rsidR="00EB626C" w:rsidRPr="00C45496" w:rsidRDefault="00A8210E" w:rsidP="00A8210E">
      <w:r w:rsidRPr="00C45496">
        <w:t>F</w:t>
      </w:r>
      <w:r w:rsidR="00697D71" w:rsidRPr="00C45496">
        <w:t xml:space="preserve">or an appeal by either party to be fully effective, </w:t>
      </w:r>
      <w:r w:rsidR="00805EFE" w:rsidRPr="00C45496">
        <w:t xml:space="preserve">TSBVI </w:t>
      </w:r>
      <w:r w:rsidR="00697D71" w:rsidRPr="00C45496">
        <w:t>must wait to act on the determination regarding responsibility while maintaining the status quo between the parties through supportive measures designed to ensure equal access to education.</w:t>
      </w:r>
      <w:r w:rsidRPr="00C45496">
        <w:t xml:space="preserve"> </w:t>
      </w:r>
    </w:p>
    <w:p w14:paraId="504F0E6D" w14:textId="69AC6942" w:rsidR="00BE29CA" w:rsidRPr="00C45496" w:rsidRDefault="00805EFE" w:rsidP="00BE29CA">
      <w:pPr>
        <w:pStyle w:val="margin2"/>
        <w:framePr w:wrap="around"/>
      </w:pPr>
      <w:r w:rsidRPr="00C45496">
        <w:t>TSBVI</w:t>
      </w:r>
      <w:r w:rsidR="00BE29CA" w:rsidRPr="00C45496">
        <w:t xml:space="preserve"> Response to Appeal of Determination </w:t>
      </w:r>
    </w:p>
    <w:p w14:paraId="26E28827" w14:textId="0F57018A" w:rsidR="00642BB2" w:rsidRPr="00C45496" w:rsidRDefault="00642BB2" w:rsidP="00642BB2">
      <w:pPr>
        <w:pStyle w:val="list-level1"/>
        <w:numPr>
          <w:ilvl w:val="0"/>
          <w:numId w:val="0"/>
        </w:numPr>
      </w:pPr>
      <w:r w:rsidRPr="00C45496">
        <w:t xml:space="preserve">The written decision of the </w:t>
      </w:r>
      <w:r w:rsidR="004512A0" w:rsidRPr="00C45496">
        <w:t>Superintendent as the appellate decision-maker</w:t>
      </w:r>
      <w:r w:rsidRPr="00C45496">
        <w:t xml:space="preserve"> will describe the result of the appeal of the determination regarding responsibility and the rationale for the result. A copy of the written decision of appeal must be provided simultaneously to both parties. </w:t>
      </w:r>
    </w:p>
    <w:p w14:paraId="560B0C8C" w14:textId="5D1FD01A" w:rsidR="00642BB2" w:rsidRPr="00C45496" w:rsidRDefault="00642BB2" w:rsidP="00642BB2">
      <w:pPr>
        <w:pStyle w:val="list-level1"/>
        <w:numPr>
          <w:ilvl w:val="0"/>
          <w:numId w:val="0"/>
        </w:numPr>
      </w:pPr>
      <w:r w:rsidRPr="00C45496">
        <w:t>Onc</w:t>
      </w:r>
      <w:r w:rsidR="004512A0" w:rsidRPr="00C45496">
        <w:t>e the Superintendent issues a written decision regarding</w:t>
      </w:r>
      <w:r w:rsidRPr="00C45496">
        <w:t xml:space="preserve"> the appeal of the de</w:t>
      </w:r>
      <w:r w:rsidR="00805EFE" w:rsidRPr="00C45496">
        <w:t xml:space="preserve">termination of responsibility, TSBVI </w:t>
      </w:r>
      <w:r w:rsidRPr="00C45496">
        <w:t xml:space="preserve">will proceed with implementing </w:t>
      </w:r>
      <w:r w:rsidR="00BB45F1" w:rsidRPr="00C45496">
        <w:t xml:space="preserve">Title IX </w:t>
      </w:r>
      <w:r w:rsidRPr="00C45496">
        <w:t>disciplinary sanctions or remedies</w:t>
      </w:r>
      <w:r w:rsidR="000050B0" w:rsidRPr="00C45496">
        <w:t xml:space="preserve"> or take other appropriate action</w:t>
      </w:r>
      <w:r w:rsidRPr="00C45496">
        <w:t xml:space="preserve">. </w:t>
      </w:r>
    </w:p>
    <w:p w14:paraId="59B144FA" w14:textId="77777777" w:rsidR="00B2347B" w:rsidRPr="00C45496" w:rsidRDefault="00B2347B" w:rsidP="00B2347B">
      <w:pPr>
        <w:pStyle w:val="margin1"/>
        <w:framePr w:wrap="around"/>
      </w:pPr>
      <w:r w:rsidRPr="00C45496">
        <w:t>Remedies</w:t>
      </w:r>
    </w:p>
    <w:p w14:paraId="37095C53" w14:textId="51D3CE9C" w:rsidR="00780F44" w:rsidRPr="00C45496" w:rsidRDefault="00780F44" w:rsidP="00780F44">
      <w:pPr>
        <w:pStyle w:val="local1"/>
      </w:pPr>
      <w:r w:rsidRPr="00C45496">
        <w:t xml:space="preserve">If a respondent has been determined through the formal complaint process to be responsible for the alleged sexual harassment, </w:t>
      </w:r>
      <w:r w:rsidR="00805EFE" w:rsidRPr="00C45496">
        <w:t xml:space="preserve">TSBVI </w:t>
      </w:r>
      <w:r w:rsidRPr="00C45496">
        <w:t>must provide remedies to the complainant that are designed to restore or preserve the complainant’s equal access to</w:t>
      </w:r>
      <w:r w:rsidR="00805EFE" w:rsidRPr="00C45496">
        <w:t xml:space="preserve"> TSBVI’s </w:t>
      </w:r>
      <w:r w:rsidRPr="00C45496">
        <w:t>educational programs and activities. The Title IX Coordinator is responsible for effective implementation of remedies.</w:t>
      </w:r>
    </w:p>
    <w:p w14:paraId="7D27A3B5" w14:textId="5C1D8567" w:rsidR="00780F44" w:rsidRPr="00C45496" w:rsidRDefault="006F353E" w:rsidP="00780F44">
      <w:pPr>
        <w:pStyle w:val="local1"/>
      </w:pPr>
      <w:r w:rsidRPr="00C45496">
        <w:t xml:space="preserve">In addition to the individualized services described in this </w:t>
      </w:r>
      <w:r w:rsidR="001C67F0" w:rsidRPr="00C45496">
        <w:t>regulation</w:t>
      </w:r>
      <w:r w:rsidRPr="00C45496">
        <w:t xml:space="preserve"> as supportive measures, r</w:t>
      </w:r>
      <w:r w:rsidR="00780F44" w:rsidRPr="00C45496">
        <w:t>emedies may include</w:t>
      </w:r>
      <w:r w:rsidR="00D73459" w:rsidRPr="00C45496">
        <w:t xml:space="preserve"> the following </w:t>
      </w:r>
      <w:r w:rsidRPr="00C45496">
        <w:t>sanctions or measures</w:t>
      </w:r>
      <w:r w:rsidR="00780F44" w:rsidRPr="00C45496">
        <w:t xml:space="preserve">: </w:t>
      </w:r>
    </w:p>
    <w:p w14:paraId="74C0427F" w14:textId="5EAF0232" w:rsidR="00780F44" w:rsidRPr="00C45496" w:rsidRDefault="0017433F" w:rsidP="00780F44">
      <w:pPr>
        <w:pStyle w:val="local1"/>
        <w:numPr>
          <w:ilvl w:val="0"/>
          <w:numId w:val="34"/>
        </w:numPr>
      </w:pPr>
      <w:r w:rsidRPr="00C45496">
        <w:t>Suspension</w:t>
      </w:r>
    </w:p>
    <w:p w14:paraId="2310B978" w14:textId="206E2B70" w:rsidR="0017433F" w:rsidRPr="00C45496" w:rsidRDefault="0017433F" w:rsidP="00780F44">
      <w:pPr>
        <w:pStyle w:val="local1"/>
        <w:numPr>
          <w:ilvl w:val="0"/>
          <w:numId w:val="34"/>
        </w:numPr>
      </w:pPr>
      <w:r w:rsidRPr="00C45496">
        <w:t>Expulsion</w:t>
      </w:r>
    </w:p>
    <w:p w14:paraId="3D853683" w14:textId="7B228F97" w:rsidR="0017433F" w:rsidRPr="00C45496" w:rsidRDefault="0017433F" w:rsidP="00780F44">
      <w:pPr>
        <w:pStyle w:val="local1"/>
        <w:numPr>
          <w:ilvl w:val="0"/>
          <w:numId w:val="34"/>
        </w:numPr>
      </w:pPr>
      <w:r w:rsidRPr="00C45496">
        <w:t xml:space="preserve">Any disciplinary measure provided by </w:t>
      </w:r>
      <w:r w:rsidR="00805EFE" w:rsidRPr="00C45496">
        <w:t xml:space="preserve">TSBVI’s </w:t>
      </w:r>
      <w:r w:rsidRPr="00C45496">
        <w:t>Student Code of Conduct</w:t>
      </w:r>
    </w:p>
    <w:p w14:paraId="4636D124" w14:textId="1071500E" w:rsidR="0060444A" w:rsidRPr="00C45496" w:rsidRDefault="00780F44" w:rsidP="00780F44">
      <w:pPr>
        <w:pStyle w:val="local1"/>
      </w:pPr>
      <w:r w:rsidRPr="00C45496">
        <w:t>Remedies need not be non-disciplinary, non-punitive, or avoid burdening the respondent.</w:t>
      </w:r>
    </w:p>
    <w:p w14:paraId="4A05F1A3" w14:textId="309C44A4" w:rsidR="00F27C58" w:rsidRPr="00C45496" w:rsidRDefault="00B2362F" w:rsidP="00F27C58">
      <w:pPr>
        <w:pStyle w:val="margin1"/>
        <w:framePr w:wrap="around"/>
      </w:pPr>
      <w:r w:rsidRPr="00C45496">
        <w:lastRenderedPageBreak/>
        <w:t xml:space="preserve">Title IX Sexual Harassment </w:t>
      </w:r>
      <w:r w:rsidR="00F27C58" w:rsidRPr="00C45496">
        <w:t>Training</w:t>
      </w:r>
    </w:p>
    <w:p w14:paraId="6113D1BB" w14:textId="72369568" w:rsidR="00F27C58" w:rsidRPr="00C45496" w:rsidRDefault="00495CA4" w:rsidP="00F27C58">
      <w:pPr>
        <w:pStyle w:val="local1"/>
      </w:pPr>
      <w:r w:rsidRPr="00C45496">
        <w:t xml:space="preserve">TSBVI </w:t>
      </w:r>
      <w:r w:rsidR="00F27C58" w:rsidRPr="00C45496">
        <w:t xml:space="preserve">will provide all Title IX personnel, including the Title IX Coordinator, investigators, decision-makers, </w:t>
      </w:r>
      <w:r w:rsidR="0084573A" w:rsidRPr="00C45496">
        <w:t>and</w:t>
      </w:r>
      <w:r w:rsidR="00F27C58" w:rsidRPr="00C45496">
        <w:t xml:space="preserve"> any person designated to facilitate an informal resolution process, training necessary to perform their duties, including</w:t>
      </w:r>
      <w:r w:rsidR="00C1175B" w:rsidRPr="00C45496">
        <w:t>:</w:t>
      </w:r>
      <w:r w:rsidR="00F27C58" w:rsidRPr="00C45496">
        <w:t xml:space="preserve"> the definition of sexual harassmen</w:t>
      </w:r>
      <w:r w:rsidRPr="00C45496">
        <w:t xml:space="preserve">t under Title IX; the scope of TSBVI’s </w:t>
      </w:r>
      <w:r w:rsidR="00F27C58" w:rsidRPr="00C45496">
        <w:t xml:space="preserve">education program or activity; as applicable to assigned duties, how to conduct an investigation and the formal complaint process including overseeing exchange of questions and answers, appeals procedures, and informal resolution procedures; and how to serve </w:t>
      </w:r>
      <w:r w:rsidR="00C1175B" w:rsidRPr="00C45496">
        <w:t>im</w:t>
      </w:r>
      <w:r w:rsidR="00F27C58" w:rsidRPr="00C45496">
        <w:t>partially, including by avoiding prejudgment of the facts at issue, conflicts of interest, and bias.</w:t>
      </w:r>
    </w:p>
    <w:p w14:paraId="42879997" w14:textId="167AE482" w:rsidR="00F27C58" w:rsidRPr="00C45496" w:rsidRDefault="00F27C58" w:rsidP="00F27C58">
      <w:pPr>
        <w:pStyle w:val="local1"/>
      </w:pPr>
      <w:r w:rsidRPr="00C45496">
        <w:t>For investigators, training must also include: issues of relevance to create an investigative report that fairly summarizes relevant evidenc</w:t>
      </w:r>
      <w:r w:rsidR="002076C9" w:rsidRPr="00C45496">
        <w:t>e, including when questions and evidence about the complainant’s sexual predisposition or prior sexual behavior are not relevant</w:t>
      </w:r>
      <w:r w:rsidRPr="00C45496">
        <w:t>.</w:t>
      </w:r>
    </w:p>
    <w:p w14:paraId="671BFBB0" w14:textId="77777777" w:rsidR="00F27C58" w:rsidRPr="00C45496" w:rsidRDefault="00F27C58" w:rsidP="00F27C58">
      <w:pPr>
        <w:pStyle w:val="local1"/>
      </w:pPr>
      <w:r w:rsidRPr="00C45496">
        <w:t>For decision-makers, training must also include: issues of relevance of questions and evidence, including when questions and evidence about the complainant’s sexual predisposition or prior sexual behavior are not relevant.</w:t>
      </w:r>
    </w:p>
    <w:p w14:paraId="1D1AF3F1" w14:textId="7992A5D1" w:rsidR="00F27C58" w:rsidRPr="00C45496" w:rsidRDefault="00495CA4" w:rsidP="00F27C58">
      <w:pPr>
        <w:pStyle w:val="local1"/>
      </w:pPr>
      <w:r w:rsidRPr="00C45496">
        <w:t xml:space="preserve">TSBVI </w:t>
      </w:r>
      <w:r w:rsidR="00F27C58" w:rsidRPr="00C45496">
        <w:t>may choose any training program so long as training materials do not rely on sex stereotypes and promote impartial investigations and adjudication of complaints.</w:t>
      </w:r>
    </w:p>
    <w:p w14:paraId="71A5D86C" w14:textId="58315700" w:rsidR="009E0A9A" w:rsidRPr="00C45496" w:rsidRDefault="009E0A9A" w:rsidP="00F27C58">
      <w:pPr>
        <w:pStyle w:val="local1"/>
      </w:pPr>
      <w:r w:rsidRPr="00C45496">
        <w:t>Non-</w:t>
      </w:r>
      <w:r w:rsidR="00495CA4" w:rsidRPr="00C45496">
        <w:t>TSBVI</w:t>
      </w:r>
      <w:r w:rsidRPr="00C45496">
        <w:t xml:space="preserve"> employees who are designated to </w:t>
      </w:r>
      <w:r w:rsidR="00C456C8" w:rsidRPr="00C45496">
        <w:t>fulfill</w:t>
      </w:r>
      <w:r w:rsidRPr="00C45496">
        <w:t xml:space="preserve"> Title IX </w:t>
      </w:r>
      <w:r w:rsidR="00C456C8" w:rsidRPr="00C45496">
        <w:t>obligations</w:t>
      </w:r>
      <w:r w:rsidRPr="00C45496">
        <w:t xml:space="preserve"> may be responsible for costs of securing required training unless otherwise provided by </w:t>
      </w:r>
      <w:r w:rsidR="00495CA4" w:rsidRPr="00C45496">
        <w:t>TSBVI</w:t>
      </w:r>
      <w:r w:rsidRPr="00C45496">
        <w:t>.</w:t>
      </w:r>
      <w:r w:rsidR="00166F26" w:rsidRPr="00C45496">
        <w:t xml:space="preserve"> </w:t>
      </w:r>
    </w:p>
    <w:p w14:paraId="11C587E8" w14:textId="77777777" w:rsidR="00780F44" w:rsidRPr="00C45496" w:rsidRDefault="00780F44" w:rsidP="00780F44">
      <w:pPr>
        <w:pStyle w:val="margin1"/>
        <w:framePr w:wrap="around"/>
      </w:pPr>
      <w:r w:rsidRPr="00C45496">
        <w:t>Records Retention</w:t>
      </w:r>
    </w:p>
    <w:p w14:paraId="422CEDCE" w14:textId="287F6564" w:rsidR="00780F44" w:rsidRPr="00C45496" w:rsidRDefault="00495CA4" w:rsidP="00F27C58">
      <w:pPr>
        <w:pStyle w:val="local1"/>
      </w:pPr>
      <w:r w:rsidRPr="00C45496">
        <w:t xml:space="preserve">Records related to TSBVI’s </w:t>
      </w:r>
      <w:r w:rsidR="00780F44" w:rsidRPr="00C45496">
        <w:t xml:space="preserve">entire response and process related to an allegation of </w:t>
      </w:r>
      <w:r w:rsidR="00EB626C" w:rsidRPr="00C45496">
        <w:t>sexual</w:t>
      </w:r>
      <w:r w:rsidR="00780F44" w:rsidRPr="00C45496">
        <w:t xml:space="preserve"> harassment must be</w:t>
      </w:r>
      <w:r w:rsidRPr="00C45496">
        <w:t xml:space="preserve"> maintained in accordance with TSBVI’s records retention</w:t>
      </w:r>
      <w:r w:rsidR="00780F44" w:rsidRPr="00C45496">
        <w:t xml:space="preserve"> schedule or a minimum of seven years, whichever is longer. </w:t>
      </w:r>
      <w:r w:rsidRPr="00C45496">
        <w:t>TSBVI</w:t>
      </w:r>
      <w:r w:rsidR="00A7256E" w:rsidRPr="00C45496">
        <w:t xml:space="preserve"> will </w:t>
      </w:r>
      <w:r w:rsidR="00C456C8" w:rsidRPr="00C45496">
        <w:t>direct all</w:t>
      </w:r>
      <w:r w:rsidR="00A7256E" w:rsidRPr="00C45496">
        <w:t xml:space="preserve"> assigned Title IX personnel </w:t>
      </w:r>
      <w:r w:rsidR="00C456C8" w:rsidRPr="00C45496">
        <w:t>to</w:t>
      </w:r>
      <w:r w:rsidR="00A7256E" w:rsidRPr="00C45496">
        <w:t xml:space="preserve"> comply with this recordkeeping requirement. [See FFH(</w:t>
      </w:r>
      <w:r w:rsidRPr="00C45496">
        <w:t>TSBVI</w:t>
      </w:r>
      <w:r w:rsidR="00A7256E" w:rsidRPr="00C45496">
        <w:t>)]</w:t>
      </w:r>
    </w:p>
    <w:p w14:paraId="1940A63F" w14:textId="77777777" w:rsidR="00B4529C" w:rsidRPr="00C45496" w:rsidRDefault="00B4529C" w:rsidP="00B4529C">
      <w:pPr>
        <w:pStyle w:val="margin1"/>
        <w:framePr w:wrap="around"/>
      </w:pPr>
      <w:r w:rsidRPr="00C45496">
        <w:t>Confidentiality</w:t>
      </w:r>
    </w:p>
    <w:p w14:paraId="7F4DFEB9" w14:textId="24F12657" w:rsidR="00AE69F4" w:rsidRPr="00C45496" w:rsidRDefault="00495CA4" w:rsidP="00AE69F4">
      <w:pPr>
        <w:pStyle w:val="local1"/>
      </w:pPr>
      <w:r w:rsidRPr="00C45496">
        <w:t xml:space="preserve">TSBVI </w:t>
      </w:r>
      <w:r w:rsidR="00B4529C" w:rsidRPr="00C45496">
        <w:t xml:space="preserve">must keep </w:t>
      </w:r>
      <w:r w:rsidR="00AE69F4" w:rsidRPr="00C45496">
        <w:t xml:space="preserve">information </w:t>
      </w:r>
      <w:r w:rsidR="00B4529C" w:rsidRPr="00C45496">
        <w:t xml:space="preserve">confidential </w:t>
      </w:r>
      <w:r w:rsidR="00AE69F4" w:rsidRPr="00C45496">
        <w:t xml:space="preserve">as required </w:t>
      </w:r>
      <w:r w:rsidR="00C456C8" w:rsidRPr="00C45496">
        <w:t xml:space="preserve">by </w:t>
      </w:r>
      <w:r w:rsidR="00AE69F4" w:rsidRPr="00C45496">
        <w:t>law</w:t>
      </w:r>
      <w:r w:rsidR="00B4529C" w:rsidRPr="00C45496">
        <w:t xml:space="preserve"> except</w:t>
      </w:r>
      <w:r w:rsidR="00AE69F4" w:rsidRPr="00C45496">
        <w:t xml:space="preserve"> as</w:t>
      </w:r>
      <w:r w:rsidR="00B4529C" w:rsidRPr="00C45496">
        <w:t xml:space="preserve"> necessary</w:t>
      </w:r>
      <w:r w:rsidR="00E77292" w:rsidRPr="00C45496">
        <w:t xml:space="preserve"> </w:t>
      </w:r>
      <w:r w:rsidR="00B4529C" w:rsidRPr="00C45496">
        <w:t xml:space="preserve">to provide supportive measures, to conduct proceedings under </w:t>
      </w:r>
      <w:r w:rsidR="009F6A0E" w:rsidRPr="00C45496">
        <w:t>the formal complaint process</w:t>
      </w:r>
      <w:r w:rsidR="00B4529C" w:rsidRPr="00C45496">
        <w:t xml:space="preserve">, </w:t>
      </w:r>
      <w:r w:rsidR="00AE69F4" w:rsidRPr="00C45496">
        <w:t>when disclosure is</w:t>
      </w:r>
      <w:r w:rsidR="00B4529C" w:rsidRPr="00C45496">
        <w:t xml:space="preserve"> required by law, or </w:t>
      </w:r>
      <w:r w:rsidR="00AE69F4" w:rsidRPr="00C45496">
        <w:t xml:space="preserve">when </w:t>
      </w:r>
      <w:r w:rsidR="00B4529C" w:rsidRPr="00C45496">
        <w:t xml:space="preserve">permitted by </w:t>
      </w:r>
      <w:r w:rsidRPr="00C45496">
        <w:t xml:space="preserve">TSBVI </w:t>
      </w:r>
      <w:r w:rsidR="00581B51" w:rsidRPr="00C45496">
        <w:t xml:space="preserve">in compliance with </w:t>
      </w:r>
      <w:r w:rsidR="00B4529C" w:rsidRPr="00C45496">
        <w:t>the Family Education</w:t>
      </w:r>
      <w:r w:rsidR="009865ED" w:rsidRPr="00C45496">
        <w:t>al</w:t>
      </w:r>
      <w:r w:rsidR="00B4529C" w:rsidRPr="00C45496">
        <w:t xml:space="preserve"> Rights and Privacy Act (FERPA)</w:t>
      </w:r>
      <w:r w:rsidR="00581B51" w:rsidRPr="00C45496">
        <w:t xml:space="preserve"> and state law</w:t>
      </w:r>
      <w:r w:rsidR="009F6A0E" w:rsidRPr="00C45496">
        <w:t xml:space="preserve">, or to otherwise carry out the purposes of 34 C.F.R. </w:t>
      </w:r>
      <w:r w:rsidR="00E77292" w:rsidRPr="00C45496">
        <w:t xml:space="preserve">Part </w:t>
      </w:r>
      <w:r w:rsidR="009F6A0E" w:rsidRPr="00C45496">
        <w:t>106</w:t>
      </w:r>
      <w:r w:rsidR="00B4529C" w:rsidRPr="00C45496">
        <w:t xml:space="preserve">. </w:t>
      </w:r>
      <w:r w:rsidRPr="00C45496">
        <w:t xml:space="preserve">However, TSBVI </w:t>
      </w:r>
      <w:r w:rsidR="00AE69F4" w:rsidRPr="00C45496">
        <w:t>may not restrict the ability of the parties to discuss the allegations under investigation or to gather and present relevant evidence.</w:t>
      </w:r>
    </w:p>
    <w:p w14:paraId="0F147F2F" w14:textId="04770F21" w:rsidR="00F25DB4" w:rsidRPr="00C45496" w:rsidRDefault="00B4529C" w:rsidP="003D2C44">
      <w:pPr>
        <w:pStyle w:val="list-level1"/>
        <w:numPr>
          <w:ilvl w:val="0"/>
          <w:numId w:val="0"/>
        </w:numPr>
      </w:pPr>
      <w:r w:rsidRPr="00C45496">
        <w:lastRenderedPageBreak/>
        <w:t xml:space="preserve">A complainant’s identity, if known, must be disclosed to the respondent once a formal complaint is filed by a complainant or signed by the Title IX Coordinator. </w:t>
      </w:r>
    </w:p>
    <w:p w14:paraId="6B5AF197" w14:textId="33184879" w:rsidR="003F5FF6" w:rsidRPr="00C45496" w:rsidRDefault="003F5FF6" w:rsidP="003F5FF6">
      <w:pPr>
        <w:pStyle w:val="margin1"/>
        <w:framePr w:wrap="around"/>
      </w:pPr>
      <w:bookmarkStart w:id="5" w:name="_Hlk47086578"/>
      <w:r w:rsidRPr="00C45496">
        <w:t>Required Reporting</w:t>
      </w:r>
    </w:p>
    <w:p w14:paraId="45A12A77" w14:textId="323168B4" w:rsidR="003F5FF6" w:rsidRPr="00C45496" w:rsidRDefault="003F5FF6" w:rsidP="007D50B9">
      <w:pPr>
        <w:pStyle w:val="list-level1"/>
        <w:numPr>
          <w:ilvl w:val="0"/>
          <w:numId w:val="0"/>
        </w:numPr>
      </w:pPr>
      <w:r w:rsidRPr="00C45496">
        <w:t xml:space="preserve">At any point during </w:t>
      </w:r>
      <w:r w:rsidR="00495CA4" w:rsidRPr="00C45496">
        <w:t xml:space="preserve">TSBVI’s </w:t>
      </w:r>
      <w:r w:rsidRPr="00C45496">
        <w:t xml:space="preserve">investigation that evidence is uncovered that requires reporting to law enforcement, Child Protective Services, State Board of Educator Certification, or another entity, </w:t>
      </w:r>
      <w:r w:rsidR="00495CA4" w:rsidRPr="00C45496">
        <w:t>TSBVI</w:t>
      </w:r>
      <w:r w:rsidRPr="00C45496">
        <w:t xml:space="preserve"> employees must take the necessary actions to do so in compliance with law or board policy.</w:t>
      </w:r>
    </w:p>
    <w:bookmarkEnd w:id="5"/>
    <w:p w14:paraId="7208D4AD" w14:textId="1A8DF19F" w:rsidR="006B3508" w:rsidRPr="00407496" w:rsidRDefault="006B3508" w:rsidP="006B3508">
      <w:pPr>
        <w:pStyle w:val="note1"/>
        <w:rPr>
          <w:rStyle w:val="notedecoration"/>
          <w:b w:val="0"/>
          <w:bCs/>
          <w:i w:val="0"/>
          <w:iCs/>
        </w:rPr>
      </w:pPr>
      <w:r w:rsidRPr="00C45496">
        <w:rPr>
          <w:rStyle w:val="notedecoration"/>
        </w:rPr>
        <w:t xml:space="preserve">Note: </w:t>
      </w:r>
      <w:r w:rsidRPr="00C45496">
        <w:rPr>
          <w:rStyle w:val="notedecoration"/>
          <w:b w:val="0"/>
          <w:bCs/>
          <w:i w:val="0"/>
          <w:iCs/>
        </w:rPr>
        <w:tab/>
        <w:t xml:space="preserve">Information regarding </w:t>
      </w:r>
      <w:hyperlink r:id="rId14" w:history="1">
        <w:r w:rsidRPr="00C45496">
          <w:rPr>
            <w:rStyle w:val="Hyperlink"/>
            <w:bCs/>
            <w:iCs/>
            <w:noProof/>
          </w:rPr>
          <w:t>Superintendent Reporting Requirements</w:t>
        </w:r>
      </w:hyperlink>
      <w:r w:rsidRPr="00C45496">
        <w:rPr>
          <w:rStyle w:val="EndnoteReference"/>
          <w:bCs/>
          <w:iCs/>
          <w:noProof/>
        </w:rPr>
        <w:endnoteReference w:id="1"/>
      </w:r>
      <w:r w:rsidRPr="00C45496">
        <w:rPr>
          <w:rStyle w:val="notedecoration"/>
          <w:b w:val="0"/>
          <w:bCs/>
          <w:i w:val="0"/>
          <w:iCs/>
        </w:rPr>
        <w:t xml:space="preserve"> can be found on TEA’s </w:t>
      </w:r>
      <w:r w:rsidR="00B314B8" w:rsidRPr="00C45496">
        <w:rPr>
          <w:rStyle w:val="notedecoration"/>
          <w:b w:val="0"/>
          <w:i w:val="0"/>
        </w:rPr>
        <w:t>website</w:t>
      </w:r>
      <w:r w:rsidRPr="00C45496">
        <w:rPr>
          <w:rStyle w:val="notedecoration"/>
          <w:b w:val="0"/>
          <w:bCs/>
          <w:i w:val="0"/>
          <w:iCs/>
        </w:rPr>
        <w:t>.</w:t>
      </w:r>
      <w:bookmarkEnd w:id="1"/>
    </w:p>
    <w:sectPr w:rsidR="006B3508" w:rsidRPr="00407496" w:rsidSect="00D54A17">
      <w:headerReference w:type="default" r:id="rId15"/>
      <w:endnotePr>
        <w:numFmt w:val="decimal"/>
      </w:endnotePr>
      <w:type w:val="continuous"/>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B6A9D" w14:textId="77777777" w:rsidR="000B7696" w:rsidRDefault="000B7696">
      <w:pPr>
        <w:spacing w:after="0" w:line="240" w:lineRule="auto"/>
      </w:pPr>
      <w:r>
        <w:separator/>
      </w:r>
    </w:p>
  </w:endnote>
  <w:endnote w:type="continuationSeparator" w:id="0">
    <w:p w14:paraId="617E8AAF" w14:textId="77777777" w:rsidR="000B7696" w:rsidRDefault="000B7696">
      <w:pPr>
        <w:spacing w:after="0" w:line="240" w:lineRule="auto"/>
      </w:pPr>
      <w:r>
        <w:continuationSeparator/>
      </w:r>
    </w:p>
  </w:endnote>
  <w:endnote w:id="1">
    <w:p w14:paraId="1094714F" w14:textId="1A376F8C" w:rsidR="000645B9" w:rsidRDefault="000645B9" w:rsidP="00D5291F">
      <w:pPr>
        <w:pStyle w:val="EndnoteText"/>
        <w:rPr>
          <w:rStyle w:val="Hyperlink"/>
        </w:rPr>
      </w:pPr>
      <w:r>
        <w:rPr>
          <w:rStyle w:val="EndnoteReference"/>
        </w:rPr>
        <w:endnoteRef/>
      </w:r>
      <w:r>
        <w:t xml:space="preserve"> Superintendent Reporting Requirements: </w:t>
      </w:r>
      <w:hyperlink r:id="rId1" w:history="1">
        <w:r w:rsidRPr="001A542A">
          <w:rPr>
            <w:rStyle w:val="Hyperlink"/>
          </w:rPr>
          <w:t>https://tea.texas.gov/texas-educators/investigations/superintendent-reporting-requirements</w:t>
        </w:r>
      </w:hyperlink>
    </w:p>
    <w:p w14:paraId="38F548E4" w14:textId="5774558C" w:rsidR="004A2A81" w:rsidRPr="00D5291F" w:rsidRDefault="004A2A81" w:rsidP="00D54A17">
      <w:pPr>
        <w:widowControl w:val="0"/>
        <w:spacing w:after="0" w:line="240" w:lineRule="auto"/>
        <w:ind w:right="-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9B79" w14:textId="77777777" w:rsidR="000B7696" w:rsidRDefault="000B7696">
      <w:pPr>
        <w:spacing w:after="0" w:line="240" w:lineRule="auto"/>
      </w:pPr>
      <w:r>
        <w:separator/>
      </w:r>
    </w:p>
  </w:footnote>
  <w:footnote w:type="continuationSeparator" w:id="0">
    <w:p w14:paraId="33BB330C" w14:textId="77777777" w:rsidR="000B7696" w:rsidRDefault="000B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56E2" w14:textId="0C741E88" w:rsidR="00C45496" w:rsidRDefault="00C45496">
    <w:pPr>
      <w:pStyle w:val="Header"/>
    </w:pPr>
    <w:r>
      <w:tab/>
    </w:r>
    <w:r>
      <w:tab/>
      <w:t>January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4880" w14:textId="045072D1" w:rsidR="00D54A17" w:rsidRDefault="00D5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6B1"/>
    <w:multiLevelType w:val="multilevel"/>
    <w:tmpl w:val="77E02A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07AE5"/>
    <w:multiLevelType w:val="hybridMultilevel"/>
    <w:tmpl w:val="11FAEE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502067"/>
    <w:multiLevelType w:val="multilevel"/>
    <w:tmpl w:val="70C0FB3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3" w15:restartNumberingAfterBreak="0">
    <w:nsid w:val="12921010"/>
    <w:multiLevelType w:val="hybridMultilevel"/>
    <w:tmpl w:val="B53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E04C5"/>
    <w:multiLevelType w:val="multilevel"/>
    <w:tmpl w:val="ED36D84E"/>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C708C7"/>
    <w:multiLevelType w:val="multilevel"/>
    <w:tmpl w:val="B634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13A20"/>
    <w:multiLevelType w:val="multilevel"/>
    <w:tmpl w:val="0614B0B4"/>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8" w15:restartNumberingAfterBreak="0">
    <w:nsid w:val="36C96C8E"/>
    <w:multiLevelType w:val="hybridMultilevel"/>
    <w:tmpl w:val="AEEC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E501F"/>
    <w:multiLevelType w:val="hybridMultilevel"/>
    <w:tmpl w:val="80F838F2"/>
    <w:lvl w:ilvl="0" w:tplc="04090001">
      <w:start w:val="1"/>
      <w:numFmt w:val="bullet"/>
      <w:lvlText w:val=""/>
      <w:lvlJc w:val="left"/>
      <w:pPr>
        <w:ind w:left="720" w:hanging="360"/>
      </w:pPr>
      <w:rPr>
        <w:rFonts w:ascii="Symbol" w:hAnsi="Symbol" w:cs="Symbol" w:hint="default"/>
      </w:rPr>
    </w:lvl>
    <w:lvl w:ilvl="1" w:tplc="BBE4CE7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F475CC"/>
    <w:multiLevelType w:val="hybridMultilevel"/>
    <w:tmpl w:val="CFEAEF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56D4B"/>
    <w:multiLevelType w:val="hybridMultilevel"/>
    <w:tmpl w:val="5454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F63B1"/>
    <w:multiLevelType w:val="hybridMultilevel"/>
    <w:tmpl w:val="64B60C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A7F9D"/>
    <w:multiLevelType w:val="hybridMultilevel"/>
    <w:tmpl w:val="E120143C"/>
    <w:lvl w:ilvl="0" w:tplc="04090001">
      <w:start w:val="1"/>
      <w:numFmt w:val="bullet"/>
      <w:lvlText w:val=""/>
      <w:lvlJc w:val="left"/>
      <w:pPr>
        <w:ind w:left="782" w:hanging="360"/>
      </w:pPr>
      <w:rPr>
        <w:rFonts w:ascii="Symbol" w:hAnsi="Symbol" w:cs="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cs="Wingdings" w:hint="default"/>
      </w:rPr>
    </w:lvl>
    <w:lvl w:ilvl="3" w:tplc="04090001" w:tentative="1">
      <w:start w:val="1"/>
      <w:numFmt w:val="bullet"/>
      <w:lvlText w:val=""/>
      <w:lvlJc w:val="left"/>
      <w:pPr>
        <w:ind w:left="2942" w:hanging="360"/>
      </w:pPr>
      <w:rPr>
        <w:rFonts w:ascii="Symbol" w:hAnsi="Symbol" w:cs="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cs="Wingdings" w:hint="default"/>
      </w:rPr>
    </w:lvl>
    <w:lvl w:ilvl="6" w:tplc="04090001" w:tentative="1">
      <w:start w:val="1"/>
      <w:numFmt w:val="bullet"/>
      <w:lvlText w:val=""/>
      <w:lvlJc w:val="left"/>
      <w:pPr>
        <w:ind w:left="5102" w:hanging="360"/>
      </w:pPr>
      <w:rPr>
        <w:rFonts w:ascii="Symbol" w:hAnsi="Symbol" w:cs="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cs="Wingdings" w:hint="default"/>
      </w:rPr>
    </w:lvl>
  </w:abstractNum>
  <w:abstractNum w:abstractNumId="14" w15:restartNumberingAfterBreak="0">
    <w:nsid w:val="5C932CD1"/>
    <w:multiLevelType w:val="hybridMultilevel"/>
    <w:tmpl w:val="B97071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6" w15:restartNumberingAfterBreak="0">
    <w:nsid w:val="78940BAF"/>
    <w:multiLevelType w:val="multilevel"/>
    <w:tmpl w:val="DF4E5CB8"/>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17" w15:restartNumberingAfterBreak="0">
    <w:nsid w:val="78940BB0"/>
    <w:multiLevelType w:val="multilevel"/>
    <w:tmpl w:val="BAA4C940"/>
    <w:numStyleLink w:val="numberedlist"/>
  </w:abstractNum>
  <w:abstractNum w:abstractNumId="18" w15:restartNumberingAfterBreak="0">
    <w:nsid w:val="78940BB1"/>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num>
  <w:num w:numId="3">
    <w:abstractNumId w:val="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7"/>
  </w:num>
  <w:num w:numId="25">
    <w:abstractNumId w:val="15"/>
  </w:num>
  <w:num w:numId="26">
    <w:abstractNumId w:val="17"/>
  </w:num>
  <w:num w:numId="27">
    <w:abstractNumId w:val="18"/>
  </w:num>
  <w:num w:numId="28">
    <w:abstractNumId w:val="17"/>
    <w:lvlOverride w:ilvl="0">
      <w:lvl w:ilvl="0">
        <w:start w:val="1"/>
        <w:numFmt w:val="decimal"/>
        <w:pStyle w:val="list1"/>
        <w:lvlText w:val="%1."/>
        <w:lvlJc w:val="left"/>
        <w:pPr>
          <w:tabs>
            <w:tab w:val="num" w:pos="504"/>
          </w:tabs>
          <w:ind w:left="504" w:hanging="504"/>
        </w:pPr>
        <w:rPr>
          <w:rFonts w:hint="default"/>
          <w:i w:val="0"/>
        </w:rPr>
      </w:lvl>
    </w:lvlOverride>
  </w:num>
  <w:num w:numId="29">
    <w:abstractNumId w:val="15"/>
    <w:lvlOverride w:ilvl="0">
      <w:lvl w:ilvl="0">
        <w:start w:val="1"/>
        <w:numFmt w:val="decimal"/>
        <w:pStyle w:val="list-level1"/>
        <w:lvlText w:val="%1."/>
        <w:lvlJc w:val="left"/>
        <w:pPr>
          <w:tabs>
            <w:tab w:val="num" w:pos="504"/>
          </w:tabs>
          <w:ind w:left="504" w:hanging="504"/>
        </w:pPr>
        <w:rPr>
          <w:rFonts w:ascii="Arial" w:hAnsi="Arial" w:cs="Arial" w:hint="default"/>
          <w:b w:val="0"/>
          <w:bCs/>
        </w:rPr>
      </w:lvl>
    </w:lvlOverride>
  </w:num>
  <w:num w:numId="30">
    <w:abstractNumId w:val="9"/>
  </w:num>
  <w:num w:numId="31">
    <w:abstractNumId w:val="14"/>
  </w:num>
  <w:num w:numId="32">
    <w:abstractNumId w:val="13"/>
  </w:num>
  <w:num w:numId="33">
    <w:abstractNumId w:val="1"/>
  </w:num>
  <w:num w:numId="34">
    <w:abstractNumId w:val="8"/>
  </w:num>
  <w:num w:numId="35">
    <w:abstractNumId w:val="12"/>
  </w:num>
  <w:num w:numId="36">
    <w:abstractNumId w:val="3"/>
  </w:num>
  <w:num w:numId="37">
    <w:abstractNumId w:val="10"/>
  </w:num>
  <w:num w:numId="38">
    <w:abstractNumId w:val="11"/>
  </w:num>
  <w:num w:numId="39">
    <w:abstractNumId w:val="5"/>
  </w:num>
  <w:num w:numId="4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CC"/>
    <w:rsid w:val="000016A4"/>
    <w:rsid w:val="000050B0"/>
    <w:rsid w:val="00006781"/>
    <w:rsid w:val="0001055D"/>
    <w:rsid w:val="00010A77"/>
    <w:rsid w:val="00021D40"/>
    <w:rsid w:val="0002463E"/>
    <w:rsid w:val="000278A8"/>
    <w:rsid w:val="00033915"/>
    <w:rsid w:val="00035F9A"/>
    <w:rsid w:val="00036344"/>
    <w:rsid w:val="00043E03"/>
    <w:rsid w:val="00044514"/>
    <w:rsid w:val="00044C57"/>
    <w:rsid w:val="000456BB"/>
    <w:rsid w:val="00057DEA"/>
    <w:rsid w:val="00061019"/>
    <w:rsid w:val="000616C5"/>
    <w:rsid w:val="000645B9"/>
    <w:rsid w:val="0007031A"/>
    <w:rsid w:val="000714DC"/>
    <w:rsid w:val="00075061"/>
    <w:rsid w:val="00081FA4"/>
    <w:rsid w:val="00083814"/>
    <w:rsid w:val="00083E3E"/>
    <w:rsid w:val="00084A61"/>
    <w:rsid w:val="000901CB"/>
    <w:rsid w:val="00092EB8"/>
    <w:rsid w:val="00093EFF"/>
    <w:rsid w:val="00095EDA"/>
    <w:rsid w:val="000A1B02"/>
    <w:rsid w:val="000B088D"/>
    <w:rsid w:val="000B191C"/>
    <w:rsid w:val="000B23EA"/>
    <w:rsid w:val="000B65A5"/>
    <w:rsid w:val="000B7696"/>
    <w:rsid w:val="000C0C5D"/>
    <w:rsid w:val="000C430E"/>
    <w:rsid w:val="000C5298"/>
    <w:rsid w:val="000C5967"/>
    <w:rsid w:val="000C6C8D"/>
    <w:rsid w:val="000E0023"/>
    <w:rsid w:val="000E1250"/>
    <w:rsid w:val="000E39B4"/>
    <w:rsid w:val="000E645C"/>
    <w:rsid w:val="000E7260"/>
    <w:rsid w:val="000E76E6"/>
    <w:rsid w:val="000F2601"/>
    <w:rsid w:val="00105859"/>
    <w:rsid w:val="001069DB"/>
    <w:rsid w:val="0010761B"/>
    <w:rsid w:val="00111928"/>
    <w:rsid w:val="00113ACE"/>
    <w:rsid w:val="001207C0"/>
    <w:rsid w:val="001233C0"/>
    <w:rsid w:val="00130BFE"/>
    <w:rsid w:val="00130D38"/>
    <w:rsid w:val="00132FD0"/>
    <w:rsid w:val="00133659"/>
    <w:rsid w:val="00134704"/>
    <w:rsid w:val="00150ED2"/>
    <w:rsid w:val="001536F8"/>
    <w:rsid w:val="00156FE1"/>
    <w:rsid w:val="001607A0"/>
    <w:rsid w:val="00160BCA"/>
    <w:rsid w:val="00161673"/>
    <w:rsid w:val="00164BC6"/>
    <w:rsid w:val="00166F26"/>
    <w:rsid w:val="0017433F"/>
    <w:rsid w:val="00174359"/>
    <w:rsid w:val="00174999"/>
    <w:rsid w:val="001759C7"/>
    <w:rsid w:val="00180963"/>
    <w:rsid w:val="00182293"/>
    <w:rsid w:val="00187CC0"/>
    <w:rsid w:val="00191044"/>
    <w:rsid w:val="00191123"/>
    <w:rsid w:val="00192145"/>
    <w:rsid w:val="001964F3"/>
    <w:rsid w:val="001A542A"/>
    <w:rsid w:val="001B29AD"/>
    <w:rsid w:val="001C2819"/>
    <w:rsid w:val="001C2C76"/>
    <w:rsid w:val="001C67F0"/>
    <w:rsid w:val="001D0D72"/>
    <w:rsid w:val="001D1052"/>
    <w:rsid w:val="001D1883"/>
    <w:rsid w:val="001D3EF4"/>
    <w:rsid w:val="001E072C"/>
    <w:rsid w:val="001E0C2C"/>
    <w:rsid w:val="001E30DC"/>
    <w:rsid w:val="001F0582"/>
    <w:rsid w:val="001F1B1C"/>
    <w:rsid w:val="001F1F25"/>
    <w:rsid w:val="00201120"/>
    <w:rsid w:val="00205648"/>
    <w:rsid w:val="00206269"/>
    <w:rsid w:val="002076C9"/>
    <w:rsid w:val="00213B05"/>
    <w:rsid w:val="002161C5"/>
    <w:rsid w:val="00225717"/>
    <w:rsid w:val="00231E87"/>
    <w:rsid w:val="002322B2"/>
    <w:rsid w:val="00232CBA"/>
    <w:rsid w:val="00232D06"/>
    <w:rsid w:val="00233EF2"/>
    <w:rsid w:val="002419F2"/>
    <w:rsid w:val="002468B8"/>
    <w:rsid w:val="00257815"/>
    <w:rsid w:val="002615AE"/>
    <w:rsid w:val="002678B9"/>
    <w:rsid w:val="002728A1"/>
    <w:rsid w:val="00273545"/>
    <w:rsid w:val="00274412"/>
    <w:rsid w:val="002769A9"/>
    <w:rsid w:val="002813C6"/>
    <w:rsid w:val="002817F1"/>
    <w:rsid w:val="00282D90"/>
    <w:rsid w:val="00283E66"/>
    <w:rsid w:val="00287371"/>
    <w:rsid w:val="00287482"/>
    <w:rsid w:val="002A0BA2"/>
    <w:rsid w:val="002A5DF7"/>
    <w:rsid w:val="002A6E2D"/>
    <w:rsid w:val="002A73FF"/>
    <w:rsid w:val="002B6446"/>
    <w:rsid w:val="002C2E66"/>
    <w:rsid w:val="002C7D4F"/>
    <w:rsid w:val="002D3C8E"/>
    <w:rsid w:val="002D4601"/>
    <w:rsid w:val="002E0A70"/>
    <w:rsid w:val="002F00CF"/>
    <w:rsid w:val="002F1862"/>
    <w:rsid w:val="002F4449"/>
    <w:rsid w:val="0030683E"/>
    <w:rsid w:val="00306B56"/>
    <w:rsid w:val="003152A2"/>
    <w:rsid w:val="00323F4F"/>
    <w:rsid w:val="0032681E"/>
    <w:rsid w:val="00332B9B"/>
    <w:rsid w:val="003627DB"/>
    <w:rsid w:val="00367201"/>
    <w:rsid w:val="00375412"/>
    <w:rsid w:val="00383945"/>
    <w:rsid w:val="00390457"/>
    <w:rsid w:val="00390D14"/>
    <w:rsid w:val="00397A9C"/>
    <w:rsid w:val="003A36E4"/>
    <w:rsid w:val="003A3924"/>
    <w:rsid w:val="003A3929"/>
    <w:rsid w:val="003B2D30"/>
    <w:rsid w:val="003B3597"/>
    <w:rsid w:val="003C1BF8"/>
    <w:rsid w:val="003C5ECB"/>
    <w:rsid w:val="003D275D"/>
    <w:rsid w:val="003D2AFD"/>
    <w:rsid w:val="003D2C44"/>
    <w:rsid w:val="003E2D48"/>
    <w:rsid w:val="003E5235"/>
    <w:rsid w:val="003F4114"/>
    <w:rsid w:val="003F5FF6"/>
    <w:rsid w:val="003F63D2"/>
    <w:rsid w:val="003F6761"/>
    <w:rsid w:val="003F731A"/>
    <w:rsid w:val="004025CF"/>
    <w:rsid w:val="0042280B"/>
    <w:rsid w:val="00423A8C"/>
    <w:rsid w:val="00425834"/>
    <w:rsid w:val="0042705B"/>
    <w:rsid w:val="004276E3"/>
    <w:rsid w:val="00427F20"/>
    <w:rsid w:val="004301E7"/>
    <w:rsid w:val="004442C2"/>
    <w:rsid w:val="004452C1"/>
    <w:rsid w:val="004512A0"/>
    <w:rsid w:val="00451B71"/>
    <w:rsid w:val="00452CF9"/>
    <w:rsid w:val="0045657D"/>
    <w:rsid w:val="00460EEC"/>
    <w:rsid w:val="00462625"/>
    <w:rsid w:val="00462E7E"/>
    <w:rsid w:val="00465CD8"/>
    <w:rsid w:val="004859A7"/>
    <w:rsid w:val="00490CDB"/>
    <w:rsid w:val="00491006"/>
    <w:rsid w:val="0049223D"/>
    <w:rsid w:val="00493293"/>
    <w:rsid w:val="00493A51"/>
    <w:rsid w:val="00494B7F"/>
    <w:rsid w:val="004951CD"/>
    <w:rsid w:val="00495CA4"/>
    <w:rsid w:val="004A2A81"/>
    <w:rsid w:val="004A2FAC"/>
    <w:rsid w:val="004B3DDD"/>
    <w:rsid w:val="004B4592"/>
    <w:rsid w:val="004B7882"/>
    <w:rsid w:val="004C007A"/>
    <w:rsid w:val="004C272C"/>
    <w:rsid w:val="004C34DF"/>
    <w:rsid w:val="004C6278"/>
    <w:rsid w:val="004D79FB"/>
    <w:rsid w:val="004E0CA6"/>
    <w:rsid w:val="00506F17"/>
    <w:rsid w:val="00507E7E"/>
    <w:rsid w:val="005103C2"/>
    <w:rsid w:val="00512206"/>
    <w:rsid w:val="00513BBF"/>
    <w:rsid w:val="005176DD"/>
    <w:rsid w:val="00521136"/>
    <w:rsid w:val="00523071"/>
    <w:rsid w:val="00524BDA"/>
    <w:rsid w:val="00526296"/>
    <w:rsid w:val="005262C8"/>
    <w:rsid w:val="0052776F"/>
    <w:rsid w:val="00530A77"/>
    <w:rsid w:val="0053225A"/>
    <w:rsid w:val="00532739"/>
    <w:rsid w:val="005349E3"/>
    <w:rsid w:val="00540A75"/>
    <w:rsid w:val="0054476B"/>
    <w:rsid w:val="00544B4A"/>
    <w:rsid w:val="0055372E"/>
    <w:rsid w:val="00555425"/>
    <w:rsid w:val="00572387"/>
    <w:rsid w:val="00572D70"/>
    <w:rsid w:val="00581B51"/>
    <w:rsid w:val="0058645B"/>
    <w:rsid w:val="005876F4"/>
    <w:rsid w:val="005945FD"/>
    <w:rsid w:val="00595C94"/>
    <w:rsid w:val="005962AF"/>
    <w:rsid w:val="005A0C13"/>
    <w:rsid w:val="005A358F"/>
    <w:rsid w:val="005A5870"/>
    <w:rsid w:val="005B10F2"/>
    <w:rsid w:val="005B114C"/>
    <w:rsid w:val="005B3E34"/>
    <w:rsid w:val="005B4122"/>
    <w:rsid w:val="005C05CB"/>
    <w:rsid w:val="005C2131"/>
    <w:rsid w:val="005C2D83"/>
    <w:rsid w:val="005C388F"/>
    <w:rsid w:val="005C64B1"/>
    <w:rsid w:val="005C777D"/>
    <w:rsid w:val="005D16E0"/>
    <w:rsid w:val="005D288E"/>
    <w:rsid w:val="005E15F4"/>
    <w:rsid w:val="005E1CED"/>
    <w:rsid w:val="005F0D30"/>
    <w:rsid w:val="005F3155"/>
    <w:rsid w:val="005F640E"/>
    <w:rsid w:val="005F7FE8"/>
    <w:rsid w:val="0060211D"/>
    <w:rsid w:val="0060444A"/>
    <w:rsid w:val="006053E9"/>
    <w:rsid w:val="0061215B"/>
    <w:rsid w:val="0061262C"/>
    <w:rsid w:val="0061721B"/>
    <w:rsid w:val="0061778A"/>
    <w:rsid w:val="00621137"/>
    <w:rsid w:val="0062442A"/>
    <w:rsid w:val="00630B23"/>
    <w:rsid w:val="00635BC5"/>
    <w:rsid w:val="00640CCF"/>
    <w:rsid w:val="00641191"/>
    <w:rsid w:val="00642BB2"/>
    <w:rsid w:val="00642CA9"/>
    <w:rsid w:val="00642E5E"/>
    <w:rsid w:val="006438E6"/>
    <w:rsid w:val="00643A1B"/>
    <w:rsid w:val="006502AE"/>
    <w:rsid w:val="00657430"/>
    <w:rsid w:val="0066020A"/>
    <w:rsid w:val="00660430"/>
    <w:rsid w:val="00660801"/>
    <w:rsid w:val="006622A3"/>
    <w:rsid w:val="0066752B"/>
    <w:rsid w:val="0067069F"/>
    <w:rsid w:val="00676319"/>
    <w:rsid w:val="006776E2"/>
    <w:rsid w:val="00680170"/>
    <w:rsid w:val="00680AFB"/>
    <w:rsid w:val="0068514C"/>
    <w:rsid w:val="00686DB2"/>
    <w:rsid w:val="006917C7"/>
    <w:rsid w:val="0069405F"/>
    <w:rsid w:val="00694551"/>
    <w:rsid w:val="00697D71"/>
    <w:rsid w:val="006A04FC"/>
    <w:rsid w:val="006A79F6"/>
    <w:rsid w:val="006B0C04"/>
    <w:rsid w:val="006B25E8"/>
    <w:rsid w:val="006B3000"/>
    <w:rsid w:val="006B3508"/>
    <w:rsid w:val="006C30D8"/>
    <w:rsid w:val="006C4036"/>
    <w:rsid w:val="006C495B"/>
    <w:rsid w:val="006C64EF"/>
    <w:rsid w:val="006D06CA"/>
    <w:rsid w:val="006D5BDA"/>
    <w:rsid w:val="006E24CF"/>
    <w:rsid w:val="006E2500"/>
    <w:rsid w:val="006E25E7"/>
    <w:rsid w:val="006E42B7"/>
    <w:rsid w:val="006E5741"/>
    <w:rsid w:val="006E5939"/>
    <w:rsid w:val="006F06F2"/>
    <w:rsid w:val="006F2963"/>
    <w:rsid w:val="006F353E"/>
    <w:rsid w:val="006F6BAD"/>
    <w:rsid w:val="0070092D"/>
    <w:rsid w:val="007027AF"/>
    <w:rsid w:val="00703155"/>
    <w:rsid w:val="007031D4"/>
    <w:rsid w:val="00706739"/>
    <w:rsid w:val="00706AAD"/>
    <w:rsid w:val="00706DE5"/>
    <w:rsid w:val="007113BF"/>
    <w:rsid w:val="00714EA5"/>
    <w:rsid w:val="007178A5"/>
    <w:rsid w:val="00722FC8"/>
    <w:rsid w:val="00725074"/>
    <w:rsid w:val="00732715"/>
    <w:rsid w:val="00732954"/>
    <w:rsid w:val="00733E7A"/>
    <w:rsid w:val="00736BF8"/>
    <w:rsid w:val="00743B44"/>
    <w:rsid w:val="00746FFD"/>
    <w:rsid w:val="00752700"/>
    <w:rsid w:val="00753A71"/>
    <w:rsid w:val="00762573"/>
    <w:rsid w:val="007627D5"/>
    <w:rsid w:val="00764524"/>
    <w:rsid w:val="00764D8B"/>
    <w:rsid w:val="00766E60"/>
    <w:rsid w:val="00767F32"/>
    <w:rsid w:val="007700E6"/>
    <w:rsid w:val="00770B7C"/>
    <w:rsid w:val="007723ED"/>
    <w:rsid w:val="00777BD3"/>
    <w:rsid w:val="00777F9A"/>
    <w:rsid w:val="00780F44"/>
    <w:rsid w:val="00783158"/>
    <w:rsid w:val="00783D80"/>
    <w:rsid w:val="00791DCF"/>
    <w:rsid w:val="00793A16"/>
    <w:rsid w:val="0079405F"/>
    <w:rsid w:val="007B1F68"/>
    <w:rsid w:val="007B33A8"/>
    <w:rsid w:val="007B50D5"/>
    <w:rsid w:val="007C7454"/>
    <w:rsid w:val="007C78F9"/>
    <w:rsid w:val="007D2C51"/>
    <w:rsid w:val="007D50B9"/>
    <w:rsid w:val="007E7939"/>
    <w:rsid w:val="007F0B5E"/>
    <w:rsid w:val="007F0E0E"/>
    <w:rsid w:val="007F22E2"/>
    <w:rsid w:val="007F5076"/>
    <w:rsid w:val="007F530E"/>
    <w:rsid w:val="007F662B"/>
    <w:rsid w:val="008058ED"/>
    <w:rsid w:val="00805EFE"/>
    <w:rsid w:val="00806DCF"/>
    <w:rsid w:val="0080729F"/>
    <w:rsid w:val="00807583"/>
    <w:rsid w:val="00807EAE"/>
    <w:rsid w:val="008133CF"/>
    <w:rsid w:val="008148AB"/>
    <w:rsid w:val="00814E46"/>
    <w:rsid w:val="008165D5"/>
    <w:rsid w:val="00816C0E"/>
    <w:rsid w:val="008225FA"/>
    <w:rsid w:val="00822A84"/>
    <w:rsid w:val="00824D85"/>
    <w:rsid w:val="00825F60"/>
    <w:rsid w:val="00826959"/>
    <w:rsid w:val="008271D7"/>
    <w:rsid w:val="008278CB"/>
    <w:rsid w:val="00831DF3"/>
    <w:rsid w:val="00832EB4"/>
    <w:rsid w:val="00837E6D"/>
    <w:rsid w:val="00842573"/>
    <w:rsid w:val="00842ED8"/>
    <w:rsid w:val="0084479B"/>
    <w:rsid w:val="0084573A"/>
    <w:rsid w:val="0085016E"/>
    <w:rsid w:val="00852EA0"/>
    <w:rsid w:val="00855738"/>
    <w:rsid w:val="008570A8"/>
    <w:rsid w:val="0086145F"/>
    <w:rsid w:val="00882707"/>
    <w:rsid w:val="00882B95"/>
    <w:rsid w:val="00884CB0"/>
    <w:rsid w:val="00891C13"/>
    <w:rsid w:val="00896594"/>
    <w:rsid w:val="008A1FBC"/>
    <w:rsid w:val="008A4286"/>
    <w:rsid w:val="008A7BEF"/>
    <w:rsid w:val="008B128A"/>
    <w:rsid w:val="008B1939"/>
    <w:rsid w:val="008B65A2"/>
    <w:rsid w:val="008C0222"/>
    <w:rsid w:val="008C0968"/>
    <w:rsid w:val="008D0DA3"/>
    <w:rsid w:val="008D3964"/>
    <w:rsid w:val="008D3FB2"/>
    <w:rsid w:val="008D4783"/>
    <w:rsid w:val="008E2701"/>
    <w:rsid w:val="008E3711"/>
    <w:rsid w:val="008E6610"/>
    <w:rsid w:val="008E6620"/>
    <w:rsid w:val="008F1295"/>
    <w:rsid w:val="008F2A60"/>
    <w:rsid w:val="009012ED"/>
    <w:rsid w:val="00903D38"/>
    <w:rsid w:val="00911EA0"/>
    <w:rsid w:val="00914D5B"/>
    <w:rsid w:val="00920CCB"/>
    <w:rsid w:val="00920ED3"/>
    <w:rsid w:val="0092482D"/>
    <w:rsid w:val="00924A0E"/>
    <w:rsid w:val="00925FAC"/>
    <w:rsid w:val="009272DC"/>
    <w:rsid w:val="00927776"/>
    <w:rsid w:val="009332EE"/>
    <w:rsid w:val="00941FBD"/>
    <w:rsid w:val="009456BD"/>
    <w:rsid w:val="00946E2B"/>
    <w:rsid w:val="009569AF"/>
    <w:rsid w:val="009749A2"/>
    <w:rsid w:val="009767A3"/>
    <w:rsid w:val="00977A50"/>
    <w:rsid w:val="00980AA8"/>
    <w:rsid w:val="0098233A"/>
    <w:rsid w:val="00983AFC"/>
    <w:rsid w:val="00985AB8"/>
    <w:rsid w:val="00985DD0"/>
    <w:rsid w:val="009865ED"/>
    <w:rsid w:val="009961B4"/>
    <w:rsid w:val="0099779D"/>
    <w:rsid w:val="009A35FD"/>
    <w:rsid w:val="009A4F3A"/>
    <w:rsid w:val="009A61C3"/>
    <w:rsid w:val="009B0DC8"/>
    <w:rsid w:val="009B1522"/>
    <w:rsid w:val="009B4FCE"/>
    <w:rsid w:val="009B7F64"/>
    <w:rsid w:val="009C1F4B"/>
    <w:rsid w:val="009C6924"/>
    <w:rsid w:val="009C6CD7"/>
    <w:rsid w:val="009D08B8"/>
    <w:rsid w:val="009D295A"/>
    <w:rsid w:val="009D3374"/>
    <w:rsid w:val="009D6812"/>
    <w:rsid w:val="009D726A"/>
    <w:rsid w:val="009E01DD"/>
    <w:rsid w:val="009E0A9A"/>
    <w:rsid w:val="009E62A5"/>
    <w:rsid w:val="009F07F7"/>
    <w:rsid w:val="009F6A0E"/>
    <w:rsid w:val="009F7D16"/>
    <w:rsid w:val="00A0012E"/>
    <w:rsid w:val="00A13C3E"/>
    <w:rsid w:val="00A15FB6"/>
    <w:rsid w:val="00A222BC"/>
    <w:rsid w:val="00A24EFA"/>
    <w:rsid w:val="00A304E7"/>
    <w:rsid w:val="00A319A2"/>
    <w:rsid w:val="00A32116"/>
    <w:rsid w:val="00A352A1"/>
    <w:rsid w:val="00A3778E"/>
    <w:rsid w:val="00A413B7"/>
    <w:rsid w:val="00A43ACE"/>
    <w:rsid w:val="00A45183"/>
    <w:rsid w:val="00A46790"/>
    <w:rsid w:val="00A531B2"/>
    <w:rsid w:val="00A57518"/>
    <w:rsid w:val="00A60F02"/>
    <w:rsid w:val="00A7256E"/>
    <w:rsid w:val="00A73FEA"/>
    <w:rsid w:val="00A74DFA"/>
    <w:rsid w:val="00A8210E"/>
    <w:rsid w:val="00A85807"/>
    <w:rsid w:val="00A8698E"/>
    <w:rsid w:val="00A9040B"/>
    <w:rsid w:val="00A90839"/>
    <w:rsid w:val="00A92FE2"/>
    <w:rsid w:val="00A94E8C"/>
    <w:rsid w:val="00A97D50"/>
    <w:rsid w:val="00AA08DD"/>
    <w:rsid w:val="00AB4F5D"/>
    <w:rsid w:val="00AC1642"/>
    <w:rsid w:val="00AC3BF8"/>
    <w:rsid w:val="00AC550B"/>
    <w:rsid w:val="00AC6C00"/>
    <w:rsid w:val="00AC77BA"/>
    <w:rsid w:val="00AD0880"/>
    <w:rsid w:val="00AD29BB"/>
    <w:rsid w:val="00AD3036"/>
    <w:rsid w:val="00AD3490"/>
    <w:rsid w:val="00AD70AD"/>
    <w:rsid w:val="00AE69F4"/>
    <w:rsid w:val="00AF5DD1"/>
    <w:rsid w:val="00B02B92"/>
    <w:rsid w:val="00B04F9E"/>
    <w:rsid w:val="00B068A4"/>
    <w:rsid w:val="00B10657"/>
    <w:rsid w:val="00B10F46"/>
    <w:rsid w:val="00B146AE"/>
    <w:rsid w:val="00B15516"/>
    <w:rsid w:val="00B17F3E"/>
    <w:rsid w:val="00B22519"/>
    <w:rsid w:val="00B2335E"/>
    <w:rsid w:val="00B2347B"/>
    <w:rsid w:val="00B2362F"/>
    <w:rsid w:val="00B3077A"/>
    <w:rsid w:val="00B314B8"/>
    <w:rsid w:val="00B33448"/>
    <w:rsid w:val="00B3557C"/>
    <w:rsid w:val="00B40F82"/>
    <w:rsid w:val="00B42F87"/>
    <w:rsid w:val="00B43201"/>
    <w:rsid w:val="00B4529C"/>
    <w:rsid w:val="00B4601A"/>
    <w:rsid w:val="00B531D5"/>
    <w:rsid w:val="00B531D9"/>
    <w:rsid w:val="00B53528"/>
    <w:rsid w:val="00B53798"/>
    <w:rsid w:val="00B558F1"/>
    <w:rsid w:val="00B575A8"/>
    <w:rsid w:val="00B57B60"/>
    <w:rsid w:val="00B61760"/>
    <w:rsid w:val="00B82E8F"/>
    <w:rsid w:val="00B86287"/>
    <w:rsid w:val="00B97795"/>
    <w:rsid w:val="00B97D34"/>
    <w:rsid w:val="00BA0DF5"/>
    <w:rsid w:val="00BB45F1"/>
    <w:rsid w:val="00BB4E6D"/>
    <w:rsid w:val="00BB50A0"/>
    <w:rsid w:val="00BC2827"/>
    <w:rsid w:val="00BC5803"/>
    <w:rsid w:val="00BC716F"/>
    <w:rsid w:val="00BD0900"/>
    <w:rsid w:val="00BD2C7E"/>
    <w:rsid w:val="00BD5C42"/>
    <w:rsid w:val="00BD798C"/>
    <w:rsid w:val="00BE0C29"/>
    <w:rsid w:val="00BE29CA"/>
    <w:rsid w:val="00BE5D92"/>
    <w:rsid w:val="00BF1BC3"/>
    <w:rsid w:val="00BF6140"/>
    <w:rsid w:val="00C00163"/>
    <w:rsid w:val="00C02553"/>
    <w:rsid w:val="00C036FB"/>
    <w:rsid w:val="00C0399C"/>
    <w:rsid w:val="00C07CA5"/>
    <w:rsid w:val="00C1175B"/>
    <w:rsid w:val="00C11D72"/>
    <w:rsid w:val="00C175EF"/>
    <w:rsid w:val="00C24127"/>
    <w:rsid w:val="00C30B85"/>
    <w:rsid w:val="00C32703"/>
    <w:rsid w:val="00C41FC1"/>
    <w:rsid w:val="00C446AE"/>
    <w:rsid w:val="00C45496"/>
    <w:rsid w:val="00C456C8"/>
    <w:rsid w:val="00C51076"/>
    <w:rsid w:val="00C51B15"/>
    <w:rsid w:val="00C53690"/>
    <w:rsid w:val="00C65D2E"/>
    <w:rsid w:val="00C72F92"/>
    <w:rsid w:val="00C76BEF"/>
    <w:rsid w:val="00C848D8"/>
    <w:rsid w:val="00CA1538"/>
    <w:rsid w:val="00CB1711"/>
    <w:rsid w:val="00CB20D1"/>
    <w:rsid w:val="00CB2385"/>
    <w:rsid w:val="00CB6329"/>
    <w:rsid w:val="00CC10E3"/>
    <w:rsid w:val="00CC1D8D"/>
    <w:rsid w:val="00CC7448"/>
    <w:rsid w:val="00CE0861"/>
    <w:rsid w:val="00CE71C4"/>
    <w:rsid w:val="00CF465E"/>
    <w:rsid w:val="00CF6575"/>
    <w:rsid w:val="00D03FFC"/>
    <w:rsid w:val="00D0678D"/>
    <w:rsid w:val="00D0750F"/>
    <w:rsid w:val="00D10933"/>
    <w:rsid w:val="00D150DD"/>
    <w:rsid w:val="00D16DAA"/>
    <w:rsid w:val="00D17CCC"/>
    <w:rsid w:val="00D2600F"/>
    <w:rsid w:val="00D26E09"/>
    <w:rsid w:val="00D35D55"/>
    <w:rsid w:val="00D36785"/>
    <w:rsid w:val="00D42321"/>
    <w:rsid w:val="00D44BFF"/>
    <w:rsid w:val="00D513C7"/>
    <w:rsid w:val="00D520D6"/>
    <w:rsid w:val="00D5291F"/>
    <w:rsid w:val="00D54A17"/>
    <w:rsid w:val="00D56BAE"/>
    <w:rsid w:val="00D61A6F"/>
    <w:rsid w:val="00D66904"/>
    <w:rsid w:val="00D73459"/>
    <w:rsid w:val="00D739F2"/>
    <w:rsid w:val="00D73F52"/>
    <w:rsid w:val="00D9037B"/>
    <w:rsid w:val="00D933A4"/>
    <w:rsid w:val="00D93449"/>
    <w:rsid w:val="00D94F20"/>
    <w:rsid w:val="00DA1842"/>
    <w:rsid w:val="00DA1B93"/>
    <w:rsid w:val="00DB20C2"/>
    <w:rsid w:val="00DB3D12"/>
    <w:rsid w:val="00DB5A08"/>
    <w:rsid w:val="00DC6085"/>
    <w:rsid w:val="00DC7C36"/>
    <w:rsid w:val="00DD3061"/>
    <w:rsid w:val="00DE17A4"/>
    <w:rsid w:val="00DE1C5B"/>
    <w:rsid w:val="00DE42B5"/>
    <w:rsid w:val="00DE6C2C"/>
    <w:rsid w:val="00DF0037"/>
    <w:rsid w:val="00E03CA3"/>
    <w:rsid w:val="00E04723"/>
    <w:rsid w:val="00E072CF"/>
    <w:rsid w:val="00E2252B"/>
    <w:rsid w:val="00E27E53"/>
    <w:rsid w:val="00E3136F"/>
    <w:rsid w:val="00E315DF"/>
    <w:rsid w:val="00E32E51"/>
    <w:rsid w:val="00E45FFE"/>
    <w:rsid w:val="00E53B73"/>
    <w:rsid w:val="00E54C68"/>
    <w:rsid w:val="00E615E2"/>
    <w:rsid w:val="00E67944"/>
    <w:rsid w:val="00E7188D"/>
    <w:rsid w:val="00E74184"/>
    <w:rsid w:val="00E74E0D"/>
    <w:rsid w:val="00E76CD4"/>
    <w:rsid w:val="00E77292"/>
    <w:rsid w:val="00E8048C"/>
    <w:rsid w:val="00E930A6"/>
    <w:rsid w:val="00E93B57"/>
    <w:rsid w:val="00EA07A3"/>
    <w:rsid w:val="00EA1D6B"/>
    <w:rsid w:val="00EB0E03"/>
    <w:rsid w:val="00EB16EA"/>
    <w:rsid w:val="00EB602A"/>
    <w:rsid w:val="00EB626C"/>
    <w:rsid w:val="00EB7BFC"/>
    <w:rsid w:val="00EC0C8D"/>
    <w:rsid w:val="00EC21F4"/>
    <w:rsid w:val="00EC2610"/>
    <w:rsid w:val="00EC39AB"/>
    <w:rsid w:val="00ED0F37"/>
    <w:rsid w:val="00ED460A"/>
    <w:rsid w:val="00ED5FD2"/>
    <w:rsid w:val="00ED6F7B"/>
    <w:rsid w:val="00ED7934"/>
    <w:rsid w:val="00ED79A6"/>
    <w:rsid w:val="00EE7D34"/>
    <w:rsid w:val="00EF048F"/>
    <w:rsid w:val="00EF0C2C"/>
    <w:rsid w:val="00EF7654"/>
    <w:rsid w:val="00F022F7"/>
    <w:rsid w:val="00F040EE"/>
    <w:rsid w:val="00F05EC2"/>
    <w:rsid w:val="00F0601D"/>
    <w:rsid w:val="00F115DF"/>
    <w:rsid w:val="00F2190B"/>
    <w:rsid w:val="00F23A89"/>
    <w:rsid w:val="00F25DB4"/>
    <w:rsid w:val="00F26CAC"/>
    <w:rsid w:val="00F27C58"/>
    <w:rsid w:val="00F36282"/>
    <w:rsid w:val="00F36370"/>
    <w:rsid w:val="00F414C4"/>
    <w:rsid w:val="00F42C73"/>
    <w:rsid w:val="00F46798"/>
    <w:rsid w:val="00F507C3"/>
    <w:rsid w:val="00F51588"/>
    <w:rsid w:val="00F5234B"/>
    <w:rsid w:val="00F53CFE"/>
    <w:rsid w:val="00F57E7A"/>
    <w:rsid w:val="00F604D3"/>
    <w:rsid w:val="00F617A5"/>
    <w:rsid w:val="00F62B55"/>
    <w:rsid w:val="00F67AFE"/>
    <w:rsid w:val="00F71BE0"/>
    <w:rsid w:val="00F73CBC"/>
    <w:rsid w:val="00F754F8"/>
    <w:rsid w:val="00F81884"/>
    <w:rsid w:val="00F94689"/>
    <w:rsid w:val="00F947BD"/>
    <w:rsid w:val="00F95D98"/>
    <w:rsid w:val="00FA478A"/>
    <w:rsid w:val="00FA47CE"/>
    <w:rsid w:val="00FB12B5"/>
    <w:rsid w:val="00FB2D12"/>
    <w:rsid w:val="00FC000A"/>
    <w:rsid w:val="00FC04E3"/>
    <w:rsid w:val="00FE4A91"/>
    <w:rsid w:val="00FE7550"/>
    <w:rsid w:val="00FF22D1"/>
    <w:rsid w:val="00FF498F"/>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73B5"/>
  <w15:docId w15:val="{942128E9-3906-40AE-ABAD-AE4067EE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5">
    <w:lsdException w:name="Normal" w:uiPriority="4" w:qFormat="1"/>
    <w:lsdException w:name="heading 1" w:uiPriority="9"/>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3"/>
    <w:lsdException w:name="endnote text" w:uiPriority="3"/>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semiHidden/>
    <w:qFormat/>
    <w:rsid w:val="00FA6DE7"/>
    <w:rPr>
      <w:kern w:val="20"/>
    </w:rPr>
  </w:style>
  <w:style w:type="paragraph" w:styleId="Heading1">
    <w:name w:val="heading 1"/>
    <w:basedOn w:val="Normal"/>
    <w:next w:val="Normal"/>
    <w:link w:val="Heading1Char"/>
    <w:uiPriority w:val="9"/>
    <w:semiHidden/>
    <w:rsid w:val="00E928A8"/>
    <w:pPr>
      <w:keepNext/>
      <w:keepLines/>
      <w:spacing w:before="240"/>
      <w:outlineLvl w:val="0"/>
    </w:pPr>
    <w:rPr>
      <w:b/>
      <w:bCs/>
      <w:szCs w:val="28"/>
      <w:u w:val="single"/>
    </w:rPr>
  </w:style>
  <w:style w:type="paragraph" w:styleId="Heading2">
    <w:name w:val="heading 2"/>
    <w:basedOn w:val="Normal"/>
    <w:next w:val="Normal"/>
    <w:link w:val="Heading2Char"/>
    <w:uiPriority w:val="9"/>
    <w:semiHidden/>
    <w:rsid w:val="00E928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E928A8"/>
    <w:pPr>
      <w:ind w:left="720"/>
      <w:contextualSpacing/>
    </w:pPr>
  </w:style>
  <w:style w:type="paragraph" w:customStyle="1" w:styleId="local1">
    <w:name w:val="local:1"/>
    <w:link w:val="local1Char"/>
    <w:qFormat/>
    <w:rsid w:val="00FA6DE7"/>
    <w:rPr>
      <w:kern w:val="20"/>
    </w:rPr>
  </w:style>
  <w:style w:type="paragraph" w:customStyle="1" w:styleId="local2">
    <w:name w:val="local:2"/>
    <w:basedOn w:val="local1"/>
    <w:qFormat/>
    <w:rsid w:val="00E928A8"/>
    <w:pPr>
      <w:ind w:left="504"/>
    </w:pPr>
  </w:style>
  <w:style w:type="paragraph" w:customStyle="1" w:styleId="local3">
    <w:name w:val="local:3"/>
    <w:basedOn w:val="local1"/>
    <w:qFormat/>
    <w:rsid w:val="00E928A8"/>
    <w:pPr>
      <w:ind w:left="1008"/>
    </w:pPr>
  </w:style>
  <w:style w:type="paragraph" w:customStyle="1" w:styleId="local4">
    <w:name w:val="local:4"/>
    <w:basedOn w:val="local1"/>
    <w:qFormat/>
    <w:rsid w:val="00E928A8"/>
    <w:pPr>
      <w:ind w:left="1512"/>
    </w:pPr>
  </w:style>
  <w:style w:type="paragraph" w:customStyle="1" w:styleId="legal1">
    <w:name w:val="legal:1"/>
    <w:basedOn w:val="local1"/>
    <w:link w:val="legal1Char"/>
    <w:qFormat/>
    <w:rsid w:val="00E928A8"/>
  </w:style>
  <w:style w:type="paragraph" w:customStyle="1" w:styleId="legal2">
    <w:name w:val="legal:2"/>
    <w:basedOn w:val="legal1"/>
    <w:qFormat/>
    <w:rsid w:val="00E928A8"/>
    <w:pPr>
      <w:ind w:left="504"/>
    </w:pPr>
  </w:style>
  <w:style w:type="paragraph" w:customStyle="1" w:styleId="legal3">
    <w:name w:val="legal:3"/>
    <w:basedOn w:val="legal1"/>
    <w:qFormat/>
    <w:rsid w:val="00E928A8"/>
    <w:pPr>
      <w:ind w:left="1008"/>
    </w:pPr>
  </w:style>
  <w:style w:type="paragraph" w:customStyle="1" w:styleId="legal4">
    <w:name w:val="legal:4"/>
    <w:basedOn w:val="legal1"/>
    <w:qFormat/>
    <w:rsid w:val="00E928A8"/>
    <w:pPr>
      <w:ind w:left="1512"/>
    </w:pPr>
  </w:style>
  <w:style w:type="paragraph" w:customStyle="1" w:styleId="unique1">
    <w:name w:val="unique:1"/>
    <w:basedOn w:val="local1"/>
    <w:qFormat/>
    <w:rsid w:val="00E928A8"/>
  </w:style>
  <w:style w:type="paragraph" w:customStyle="1" w:styleId="unique2">
    <w:name w:val="unique:2"/>
    <w:basedOn w:val="unique1"/>
    <w:qFormat/>
    <w:rsid w:val="00E928A8"/>
    <w:pPr>
      <w:ind w:left="504"/>
    </w:pPr>
  </w:style>
  <w:style w:type="paragraph" w:customStyle="1" w:styleId="unique3">
    <w:name w:val="unique:3"/>
    <w:basedOn w:val="unique1"/>
    <w:qFormat/>
    <w:rsid w:val="00E928A8"/>
    <w:pPr>
      <w:ind w:left="1008"/>
    </w:pPr>
  </w:style>
  <w:style w:type="paragraph" w:customStyle="1" w:styleId="unique4">
    <w:name w:val="unique:4"/>
    <w:basedOn w:val="unique1"/>
    <w:qFormat/>
    <w:rsid w:val="00E928A8"/>
    <w:pPr>
      <w:ind w:left="1512"/>
    </w:pPr>
  </w:style>
  <w:style w:type="paragraph" w:customStyle="1" w:styleId="cite1">
    <w:name w:val="cite:1"/>
    <w:basedOn w:val="legal1"/>
    <w:qFormat/>
    <w:rsid w:val="00E928A8"/>
    <w:rPr>
      <w:i/>
    </w:rPr>
  </w:style>
  <w:style w:type="paragraph" w:customStyle="1" w:styleId="cite2">
    <w:name w:val="cite:2"/>
    <w:basedOn w:val="cite1"/>
    <w:qFormat/>
    <w:rsid w:val="00E928A8"/>
    <w:pPr>
      <w:ind w:left="504"/>
    </w:pPr>
  </w:style>
  <w:style w:type="paragraph" w:customStyle="1" w:styleId="margin1">
    <w:name w:val="margin:1"/>
    <w:basedOn w:val="local1"/>
    <w:next w:val="local1"/>
    <w:link w:val="margin1Char"/>
    <w:qFormat/>
    <w:rsid w:val="00E928A8"/>
    <w:pPr>
      <w:keepNext/>
      <w:framePr w:w="2232" w:hSpace="288" w:wrap="around" w:vAnchor="text" w:hAnchor="page" w:y="1"/>
      <w:suppressAutoHyphens/>
      <w:spacing w:after="100" w:line="240" w:lineRule="auto"/>
      <w:outlineLvl w:val="0"/>
    </w:pPr>
    <w:rPr>
      <w:b/>
      <w:kern w:val="0"/>
    </w:rPr>
  </w:style>
  <w:style w:type="paragraph" w:customStyle="1" w:styleId="margin2">
    <w:name w:val="margin:2"/>
    <w:basedOn w:val="margin1"/>
    <w:next w:val="local1"/>
    <w:link w:val="margin2Char"/>
    <w:qFormat/>
    <w:rsid w:val="00E928A8"/>
    <w:pPr>
      <w:framePr w:wrap="around"/>
      <w:ind w:left="245"/>
      <w:outlineLvl w:val="1"/>
    </w:pPr>
    <w:rPr>
      <w:b w:val="0"/>
    </w:rPr>
  </w:style>
  <w:style w:type="paragraph" w:customStyle="1" w:styleId="margin3">
    <w:name w:val="margin:3"/>
    <w:basedOn w:val="margin2"/>
    <w:next w:val="local1"/>
    <w:qFormat/>
    <w:rsid w:val="00E928A8"/>
    <w:pPr>
      <w:framePr w:wrap="around"/>
      <w:ind w:left="490"/>
      <w:outlineLvl w:val="2"/>
    </w:pPr>
    <w:rPr>
      <w:i/>
    </w:rPr>
  </w:style>
  <w:style w:type="paragraph" w:customStyle="1" w:styleId="note1">
    <w:name w:val="note:1"/>
    <w:basedOn w:val="local1"/>
    <w:next w:val="local1"/>
    <w:qFormat/>
    <w:rsid w:val="00E928A8"/>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E928A8"/>
    <w:pPr>
      <w:spacing w:after="120" w:line="240" w:lineRule="auto"/>
      <w:ind w:left="-2520"/>
    </w:pPr>
  </w:style>
  <w:style w:type="paragraph" w:customStyle="1" w:styleId="zBar">
    <w:name w:val="zBar"/>
    <w:basedOn w:val="para"/>
    <w:uiPriority w:val="1"/>
    <w:qFormat/>
    <w:rsid w:val="00E928A8"/>
    <w:pPr>
      <w:pBdr>
        <w:bottom w:val="thickThinSmallGap" w:sz="24" w:space="0" w:color="auto"/>
      </w:pBdr>
    </w:pPr>
  </w:style>
  <w:style w:type="paragraph" w:customStyle="1" w:styleId="zComment">
    <w:name w:val="zComment"/>
    <w:basedOn w:val="para"/>
    <w:uiPriority w:val="1"/>
    <w:qFormat/>
    <w:rsid w:val="00E928A8"/>
    <w:pPr>
      <w:tabs>
        <w:tab w:val="center" w:pos="3240"/>
      </w:tabs>
      <w:spacing w:before="240" w:after="240"/>
    </w:pPr>
    <w:rPr>
      <w:b/>
    </w:rPr>
  </w:style>
  <w:style w:type="paragraph" w:customStyle="1" w:styleId="name">
    <w:name w:val="name"/>
    <w:basedOn w:val="para"/>
    <w:next w:val="section"/>
    <w:uiPriority w:val="2"/>
    <w:qFormat/>
    <w:rsid w:val="00E928A8"/>
  </w:style>
  <w:style w:type="paragraph" w:customStyle="1" w:styleId="section">
    <w:name w:val="section"/>
    <w:basedOn w:val="para"/>
    <w:next w:val="subsection"/>
    <w:uiPriority w:val="2"/>
    <w:qFormat/>
    <w:rsid w:val="00E928A8"/>
  </w:style>
  <w:style w:type="paragraph" w:customStyle="1" w:styleId="subsection">
    <w:name w:val="subsection"/>
    <w:basedOn w:val="para"/>
    <w:next w:val="para"/>
    <w:uiPriority w:val="2"/>
    <w:qFormat/>
    <w:rsid w:val="00E928A8"/>
  </w:style>
  <w:style w:type="paragraph" w:styleId="Header">
    <w:name w:val="header"/>
    <w:basedOn w:val="Normal"/>
    <w:link w:val="HeaderChar"/>
    <w:uiPriority w:val="99"/>
    <w:rsid w:val="00E92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E7"/>
    <w:rPr>
      <w:kern w:val="20"/>
    </w:rPr>
  </w:style>
  <w:style w:type="paragraph" w:styleId="Footer">
    <w:name w:val="footer"/>
    <w:basedOn w:val="Normal"/>
    <w:link w:val="FooterChar"/>
    <w:uiPriority w:val="99"/>
    <w:rsid w:val="00E92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E7"/>
    <w:rPr>
      <w:kern w:val="20"/>
    </w:rPr>
  </w:style>
  <w:style w:type="table" w:styleId="TableGrid">
    <w:name w:val="Table Grid"/>
    <w:basedOn w:val="TableNormal"/>
    <w:uiPriority w:val="59"/>
    <w:rsid w:val="00E928A8"/>
    <w:tblPr/>
  </w:style>
  <w:style w:type="character" w:customStyle="1" w:styleId="Heading1Char">
    <w:name w:val="Heading 1 Char"/>
    <w:basedOn w:val="DefaultParagraphFont"/>
    <w:link w:val="Heading1"/>
    <w:uiPriority w:val="9"/>
    <w:semiHidden/>
    <w:rsid w:val="00FA6DE7"/>
    <w:rPr>
      <w:b/>
      <w:bCs/>
      <w:kern w:val="20"/>
      <w:szCs w:val="28"/>
      <w:u w:val="single"/>
    </w:rPr>
  </w:style>
  <w:style w:type="paragraph" w:customStyle="1" w:styleId="subhead">
    <w:name w:val="subhead"/>
    <w:basedOn w:val="para"/>
    <w:next w:val="para"/>
    <w:uiPriority w:val="2"/>
    <w:qFormat/>
    <w:rsid w:val="00E928A8"/>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FA6DE7"/>
    <w:rPr>
      <w:kern w:val="20"/>
    </w:rPr>
  </w:style>
  <w:style w:type="character" w:customStyle="1" w:styleId="legal1Char">
    <w:name w:val="legal:1 Char"/>
    <w:basedOn w:val="DefaultParagraphFont"/>
    <w:link w:val="legal1"/>
    <w:locked/>
    <w:rsid w:val="00E928A8"/>
    <w:rPr>
      <w:kern w:val="20"/>
    </w:rPr>
  </w:style>
  <w:style w:type="character" w:customStyle="1" w:styleId="Heading2Char">
    <w:name w:val="Heading 2 Char"/>
    <w:basedOn w:val="DefaultParagraphFont"/>
    <w:link w:val="Heading2"/>
    <w:uiPriority w:val="9"/>
    <w:semiHidden/>
    <w:rsid w:val="00FA6DE7"/>
    <w:rPr>
      <w:rFonts w:asciiTheme="majorHAnsi" w:eastAsiaTheme="majorEastAsia" w:hAnsiTheme="majorHAnsi" w:cstheme="majorBidi"/>
      <w:color w:val="365F91" w:themeColor="accent1" w:themeShade="BF"/>
      <w:kern w:val="20"/>
      <w:sz w:val="26"/>
      <w:szCs w:val="26"/>
    </w:rPr>
  </w:style>
  <w:style w:type="character" w:styleId="HTMLCite">
    <w:name w:val="HTML Cite"/>
    <w:basedOn w:val="DefaultParagraphFont"/>
    <w:rsid w:val="00E928A8"/>
    <w:rPr>
      <w:i/>
      <w:iCs/>
      <w:kern w:val="20"/>
    </w:rPr>
  </w:style>
  <w:style w:type="character" w:styleId="Hyperlink">
    <w:name w:val="Hyperlink"/>
    <w:basedOn w:val="DefaultParagraphFont"/>
    <w:uiPriority w:val="99"/>
    <w:rsid w:val="00E928A8"/>
    <w:rPr>
      <w:color w:val="0000FF"/>
      <w:u w:val="single"/>
    </w:rPr>
  </w:style>
  <w:style w:type="paragraph" w:customStyle="1" w:styleId="legal5">
    <w:name w:val="legal:5"/>
    <w:basedOn w:val="legal1"/>
    <w:qFormat/>
    <w:rsid w:val="00E928A8"/>
    <w:pPr>
      <w:ind w:left="2016"/>
    </w:pPr>
    <w:rPr>
      <w:noProof/>
      <w:lang w:val="es-ES_tradnl"/>
    </w:rPr>
  </w:style>
  <w:style w:type="paragraph" w:customStyle="1" w:styleId="legal6">
    <w:name w:val="legal:6"/>
    <w:basedOn w:val="legal1"/>
    <w:qFormat/>
    <w:rsid w:val="00E928A8"/>
    <w:pPr>
      <w:ind w:left="2520"/>
    </w:pPr>
  </w:style>
  <w:style w:type="paragraph" w:customStyle="1" w:styleId="local5">
    <w:name w:val="local:5"/>
    <w:basedOn w:val="local1"/>
    <w:qFormat/>
    <w:rsid w:val="00E928A8"/>
    <w:pPr>
      <w:ind w:left="2016"/>
    </w:pPr>
    <w:rPr>
      <w:noProof/>
    </w:rPr>
  </w:style>
  <w:style w:type="paragraph" w:customStyle="1" w:styleId="local6">
    <w:name w:val="local:6"/>
    <w:basedOn w:val="local1"/>
    <w:qFormat/>
    <w:rsid w:val="00E928A8"/>
    <w:pPr>
      <w:ind w:left="2520"/>
    </w:pPr>
  </w:style>
  <w:style w:type="character" w:customStyle="1" w:styleId="margin1Char">
    <w:name w:val="margin:1 Char"/>
    <w:basedOn w:val="DefaultParagraphFont"/>
    <w:link w:val="margin1"/>
    <w:locked/>
    <w:rsid w:val="00FA6DE7"/>
    <w:rPr>
      <w:b/>
    </w:rPr>
  </w:style>
  <w:style w:type="character" w:customStyle="1" w:styleId="margin2Char">
    <w:name w:val="margin:2 Char"/>
    <w:basedOn w:val="margin1Char"/>
    <w:link w:val="margin2"/>
    <w:locked/>
    <w:rsid w:val="00E928A8"/>
    <w:rPr>
      <w:b w:val="0"/>
    </w:rPr>
  </w:style>
  <w:style w:type="paragraph" w:customStyle="1" w:styleId="margin4">
    <w:name w:val="margin:4"/>
    <w:basedOn w:val="margin1"/>
    <w:next w:val="local1"/>
    <w:qFormat/>
    <w:rsid w:val="00E928A8"/>
    <w:pPr>
      <w:framePr w:wrap="around"/>
      <w:spacing w:before="20"/>
      <w:ind w:left="734"/>
      <w:outlineLvl w:val="3"/>
    </w:pPr>
    <w:rPr>
      <w:b w:val="0"/>
      <w:sz w:val="20"/>
    </w:rPr>
  </w:style>
  <w:style w:type="paragraph" w:customStyle="1" w:styleId="margin5">
    <w:name w:val="margin:5"/>
    <w:basedOn w:val="margin1"/>
    <w:next w:val="local1"/>
    <w:qFormat/>
    <w:rsid w:val="00E928A8"/>
    <w:pPr>
      <w:framePr w:wrap="around"/>
      <w:spacing w:before="20"/>
      <w:ind w:left="979"/>
      <w:outlineLvl w:val="4"/>
    </w:pPr>
    <w:rPr>
      <w:b w:val="0"/>
      <w:i/>
      <w:sz w:val="20"/>
    </w:rPr>
  </w:style>
  <w:style w:type="paragraph" w:customStyle="1" w:styleId="note2">
    <w:name w:val="note:2"/>
    <w:basedOn w:val="note1"/>
    <w:next w:val="local3"/>
    <w:qFormat/>
    <w:rsid w:val="00E928A8"/>
    <w:pPr>
      <w:pBdr>
        <w:top w:val="nil"/>
        <w:bottom w:val="nil"/>
      </w:pBdr>
      <w:spacing w:before="160"/>
    </w:pPr>
  </w:style>
  <w:style w:type="character" w:customStyle="1" w:styleId="notedecoration">
    <w:name w:val="note:decoration"/>
    <w:basedOn w:val="DefaultParagraphFont"/>
    <w:qFormat/>
    <w:rsid w:val="00E928A8"/>
    <w:rPr>
      <w:b/>
      <w:i/>
      <w:noProof/>
      <w:kern w:val="20"/>
    </w:rPr>
  </w:style>
  <w:style w:type="table" w:customStyle="1" w:styleId="NoteTable">
    <w:name w:val="Note:Table"/>
    <w:basedOn w:val="TableGrid"/>
    <w:uiPriority w:val="99"/>
    <w:rsid w:val="00E928A8"/>
    <w:pPr>
      <w:spacing w:before="160"/>
    </w:pPr>
    <w:tblPr>
      <w:tblBorders>
        <w:top w:val="single" w:sz="4" w:space="0" w:color="auto"/>
        <w:bottom w:val="single" w:sz="4" w:space="0" w:color="auto"/>
      </w:tblBorders>
      <w:tblCellMar>
        <w:left w:w="0" w:type="dxa"/>
        <w:right w:w="0" w:type="dxa"/>
      </w:tblCellMar>
    </w:tblPr>
  </w:style>
  <w:style w:type="paragraph" w:styleId="TOC1">
    <w:name w:val="toc 1"/>
    <w:basedOn w:val="local1"/>
    <w:next w:val="local1"/>
    <w:autoRedefine/>
    <w:uiPriority w:val="39"/>
    <w:unhideWhenUsed/>
    <w:rsid w:val="00E928A8"/>
    <w:pPr>
      <w:spacing w:after="100"/>
    </w:pPr>
    <w:rPr>
      <w:b/>
    </w:rPr>
  </w:style>
  <w:style w:type="paragraph" w:styleId="TOC2">
    <w:name w:val="toc 2"/>
    <w:basedOn w:val="local1"/>
    <w:next w:val="local1"/>
    <w:autoRedefine/>
    <w:uiPriority w:val="39"/>
    <w:unhideWhenUsed/>
    <w:rsid w:val="00E928A8"/>
    <w:pPr>
      <w:spacing w:after="100"/>
      <w:ind w:left="220"/>
    </w:pPr>
  </w:style>
  <w:style w:type="paragraph" w:customStyle="1" w:styleId="unique5">
    <w:name w:val="unique:5"/>
    <w:basedOn w:val="unique1"/>
    <w:qFormat/>
    <w:rsid w:val="00E928A8"/>
    <w:pPr>
      <w:ind w:left="2016"/>
    </w:pPr>
    <w:rPr>
      <w:noProof/>
    </w:rPr>
  </w:style>
  <w:style w:type="paragraph" w:customStyle="1" w:styleId="unique6">
    <w:name w:val="unique:6"/>
    <w:basedOn w:val="unique1"/>
    <w:qFormat/>
    <w:rsid w:val="00E928A8"/>
    <w:pPr>
      <w:ind w:left="2520"/>
    </w:pPr>
  </w:style>
  <w:style w:type="paragraph" w:styleId="EndnoteText">
    <w:name w:val="endnote text"/>
    <w:basedOn w:val="local1"/>
    <w:link w:val="EndnoteTextChar"/>
    <w:uiPriority w:val="3"/>
    <w:rsid w:val="00E928A8"/>
    <w:pPr>
      <w:keepLines/>
      <w:spacing w:after="0" w:line="240" w:lineRule="auto"/>
    </w:pPr>
    <w:rPr>
      <w:sz w:val="20"/>
      <w:szCs w:val="20"/>
    </w:rPr>
  </w:style>
  <w:style w:type="character" w:customStyle="1" w:styleId="EndnoteTextChar">
    <w:name w:val="Endnote Text Char"/>
    <w:basedOn w:val="DefaultParagraphFont"/>
    <w:link w:val="EndnoteText"/>
    <w:uiPriority w:val="3"/>
    <w:rsid w:val="000632E2"/>
    <w:rPr>
      <w:kern w:val="20"/>
      <w:sz w:val="20"/>
      <w:szCs w:val="20"/>
    </w:rPr>
  </w:style>
  <w:style w:type="character" w:styleId="EndnoteReference">
    <w:name w:val="endnote reference"/>
    <w:basedOn w:val="DefaultParagraphFont"/>
    <w:uiPriority w:val="3"/>
    <w:rsid w:val="00E928A8"/>
    <w:rPr>
      <w:kern w:val="20"/>
      <w:vertAlign w:val="superscript"/>
    </w:rPr>
  </w:style>
  <w:style w:type="paragraph" w:customStyle="1" w:styleId="signature-left">
    <w:name w:val="signature-left"/>
    <w:basedOn w:val="local1"/>
    <w:uiPriority w:val="1"/>
    <w:qFormat/>
    <w:rsid w:val="00E928A8"/>
    <w:pPr>
      <w:spacing w:before="160" w:after="0"/>
    </w:pPr>
  </w:style>
  <w:style w:type="paragraph" w:customStyle="1" w:styleId="signature-right">
    <w:name w:val="signature-right"/>
    <w:basedOn w:val="signature-left"/>
    <w:uiPriority w:val="1"/>
    <w:qFormat/>
    <w:rsid w:val="00E928A8"/>
    <w:pPr>
      <w:jc w:val="right"/>
    </w:pPr>
  </w:style>
  <w:style w:type="table" w:styleId="TableGrid1">
    <w:name w:val="Table Grid 1"/>
    <w:basedOn w:val="TableNormal"/>
    <w:uiPriority w:val="99"/>
    <w:semiHidden/>
    <w:unhideWhenUsed/>
    <w:rsid w:val="00E928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customStyle="1" w:styleId="Table-Data-1">
    <w:name w:val="Table-Data-1"/>
    <w:basedOn w:val="TableGrid1"/>
    <w:uiPriority w:val="99"/>
    <w:rsid w:val="00E928A8"/>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StylePr>
    <w:tblStylePr w:type="lastCol">
      <w:rPr>
        <w:i/>
        <w:iCs/>
      </w:rPr>
    </w:tblStylePr>
  </w:style>
  <w:style w:type="table" w:customStyle="1" w:styleId="Table-Data-2">
    <w:name w:val="Table-Data-2"/>
    <w:basedOn w:val="Table-Data-1"/>
    <w:uiPriority w:val="99"/>
    <w:rsid w:val="00E928A8"/>
    <w:tblPr>
      <w:tblInd w:w="619" w:type="dxa"/>
    </w:tblPr>
    <w:tcPr>
      <w:shd w:val="clear" w:color="auto" w:fill="auto"/>
    </w:tcPr>
    <w:tblStylePr w:type="firstRow">
      <w:rPr>
        <w:b/>
      </w:rPr>
      <w:tblPr/>
      <w:trPr>
        <w:tblHeader/>
      </w:trPr>
    </w:tblStylePr>
    <w:tblStylePr w:type="lastRow">
      <w:rPr>
        <w:i/>
        <w:iCs/>
      </w:rPr>
    </w:tblStylePr>
    <w:tblStylePr w:type="lastCol">
      <w:rPr>
        <w:i/>
        <w:iCs/>
      </w:rPr>
    </w:tblStylePr>
  </w:style>
  <w:style w:type="table" w:customStyle="1" w:styleId="Table-Data-3">
    <w:name w:val="Table-Data-3"/>
    <w:basedOn w:val="Table-Data-1"/>
    <w:uiPriority w:val="99"/>
    <w:rsid w:val="00E928A8"/>
    <w:tblPr>
      <w:tblInd w:w="1123" w:type="dxa"/>
    </w:tblPr>
    <w:tcPr>
      <w:shd w:val="clear" w:color="auto" w:fill="auto"/>
    </w:tcPr>
    <w:tblStylePr w:type="firstRow">
      <w:rPr>
        <w:b/>
      </w:rPr>
      <w:tblPr/>
      <w:trPr>
        <w:tblHeader/>
      </w:trPr>
    </w:tblStylePr>
    <w:tblStylePr w:type="lastRow">
      <w:rPr>
        <w:i/>
        <w:iCs/>
      </w:rPr>
    </w:tblStylePr>
    <w:tblStylePr w:type="lastCol">
      <w:rPr>
        <w:i/>
        <w:iCs/>
      </w:rPr>
    </w:tblStylePr>
  </w:style>
  <w:style w:type="table" w:customStyle="1" w:styleId="Table-Data-4">
    <w:name w:val="Table-Data-4"/>
    <w:basedOn w:val="Table-Data-1"/>
    <w:uiPriority w:val="99"/>
    <w:rsid w:val="00E928A8"/>
    <w:tblPr>
      <w:tblInd w:w="1627" w:type="dxa"/>
    </w:tblPr>
    <w:tcPr>
      <w:shd w:val="clear" w:color="auto" w:fill="auto"/>
    </w:tcPr>
    <w:tblStylePr w:type="firstRow">
      <w:rPr>
        <w:b/>
      </w:rPr>
      <w:tblPr/>
      <w:trPr>
        <w:tblHeader/>
      </w:trPr>
    </w:tblStylePr>
    <w:tblStylePr w:type="lastRow">
      <w:rPr>
        <w:i/>
        <w:iCs/>
      </w:rPr>
    </w:tblStylePr>
    <w:tblStylePr w:type="lastCol">
      <w:rPr>
        <w:i/>
        <w:iCs/>
      </w:rPr>
    </w:tblStylePr>
  </w:style>
  <w:style w:type="table" w:customStyle="1" w:styleId="Table-Data-5">
    <w:name w:val="Table-Data-5"/>
    <w:basedOn w:val="Table-Data-1"/>
    <w:uiPriority w:val="99"/>
    <w:rsid w:val="00E928A8"/>
    <w:tblPr>
      <w:tblInd w:w="2131" w:type="dxa"/>
    </w:tblPr>
    <w:tcPr>
      <w:shd w:val="clear" w:color="auto" w:fill="auto"/>
    </w:tcPr>
    <w:tblStylePr w:type="firstRow">
      <w:rPr>
        <w:b/>
      </w:rPr>
      <w:tblPr/>
      <w:trPr>
        <w:tblHeader/>
      </w:trPr>
    </w:tblStylePr>
    <w:tblStylePr w:type="lastRow">
      <w:rPr>
        <w:i/>
        <w:iCs/>
      </w:rPr>
    </w:tblStylePr>
    <w:tblStylePr w:type="lastCol">
      <w:rPr>
        <w:i/>
        <w:iCs/>
      </w:rPr>
    </w:tblStylePr>
  </w:style>
  <w:style w:type="table" w:customStyle="1" w:styleId="Table-Data-6">
    <w:name w:val="Table-Data-6"/>
    <w:basedOn w:val="Table-Data-1"/>
    <w:uiPriority w:val="99"/>
    <w:rsid w:val="00E928A8"/>
    <w:tblPr>
      <w:tblInd w:w="2635" w:type="dxa"/>
    </w:tblPr>
    <w:tcPr>
      <w:shd w:val="clear" w:color="auto" w:fill="auto"/>
    </w:tcPr>
    <w:tblStylePr w:type="firstRow">
      <w:rPr>
        <w:b/>
      </w:rPr>
      <w:tblPr/>
      <w:trPr>
        <w:tblHeader/>
      </w:trPr>
    </w:tblStylePr>
    <w:tblStylePr w:type="lastRow">
      <w:rPr>
        <w:i/>
        <w:iCs/>
      </w:rPr>
    </w:tblStylePr>
    <w:tblStylePr w:type="lastCol">
      <w:rPr>
        <w:i/>
        <w:iCs/>
      </w:rPr>
    </w:tblStylePr>
  </w:style>
  <w:style w:type="table" w:customStyle="1" w:styleId="Table-Data-Centered">
    <w:name w:val="Table-Data-Centered"/>
    <w:basedOn w:val="TableGrid1"/>
    <w:uiPriority w:val="99"/>
    <w:rsid w:val="00E928A8"/>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tblHeader/>
      </w:trPr>
    </w:tblStylePr>
    <w:tblStylePr w:type="lastRow">
      <w:rPr>
        <w:i/>
        <w:iCs/>
      </w:rPr>
    </w:tblStylePr>
    <w:tblStylePr w:type="lastCol">
      <w:rPr>
        <w:i/>
        <w:iCs/>
      </w:rPr>
    </w:tblStylePr>
  </w:style>
  <w:style w:type="table" w:customStyle="1" w:styleId="Table-Layout-1">
    <w:name w:val="Table-Layout-1"/>
    <w:basedOn w:val="TableNormal"/>
    <w:uiPriority w:val="99"/>
    <w:rsid w:val="00E928A8"/>
    <w:rPr>
      <w:kern w:val="20"/>
    </w:rPr>
    <w:tblPr>
      <w:tblCellMar>
        <w:left w:w="0" w:type="dxa"/>
        <w:right w:w="0" w:type="dxa"/>
      </w:tblCellMar>
    </w:tblPr>
    <w:trPr>
      <w:cantSplit/>
    </w:trPr>
  </w:style>
  <w:style w:type="table" w:customStyle="1" w:styleId="Table-Layout-2">
    <w:name w:val="Table-Layout-2"/>
    <w:basedOn w:val="Table-Layout-1"/>
    <w:uiPriority w:val="99"/>
    <w:rsid w:val="00E928A8"/>
    <w:tblPr>
      <w:tblInd w:w="504" w:type="dxa"/>
    </w:tblPr>
  </w:style>
  <w:style w:type="table" w:customStyle="1" w:styleId="Table-Layout-3">
    <w:name w:val="Table-Layout-3"/>
    <w:basedOn w:val="Table-Layout-1"/>
    <w:uiPriority w:val="99"/>
    <w:rsid w:val="00E928A8"/>
    <w:tblPr>
      <w:tblInd w:w="1008" w:type="dxa"/>
    </w:tblPr>
  </w:style>
  <w:style w:type="table" w:customStyle="1" w:styleId="Table-Layout-4">
    <w:name w:val="Table-Layout-4"/>
    <w:basedOn w:val="Table-Layout-1"/>
    <w:uiPriority w:val="99"/>
    <w:rsid w:val="00E928A8"/>
    <w:tblPr>
      <w:tblInd w:w="1512" w:type="dxa"/>
    </w:tblPr>
  </w:style>
  <w:style w:type="table" w:customStyle="1" w:styleId="Table-Layout-5">
    <w:name w:val="Table-Layout-5"/>
    <w:basedOn w:val="Table-Layout-1"/>
    <w:uiPriority w:val="99"/>
    <w:rsid w:val="00E928A8"/>
    <w:tblPr>
      <w:tblInd w:w="2016" w:type="dxa"/>
    </w:tblPr>
  </w:style>
  <w:style w:type="table" w:customStyle="1" w:styleId="Table-Layout-6">
    <w:name w:val="Table-Layout-6"/>
    <w:basedOn w:val="Table-Layout-1"/>
    <w:uiPriority w:val="99"/>
    <w:rsid w:val="00E928A8"/>
    <w:tblPr>
      <w:tblInd w:w="2520" w:type="dxa"/>
    </w:tblPr>
  </w:style>
  <w:style w:type="table" w:customStyle="1" w:styleId="Table-Layout-Centered">
    <w:name w:val="Table-Layout-Centered"/>
    <w:basedOn w:val="Table-Layout-1"/>
    <w:uiPriority w:val="99"/>
    <w:rsid w:val="00E928A8"/>
    <w:tblPr>
      <w:jc w:val="center"/>
    </w:tblPr>
    <w:trPr>
      <w:jc w:val="center"/>
    </w:trPr>
  </w:style>
  <w:style w:type="table" w:customStyle="1" w:styleId="Table-Layout-Grid">
    <w:name w:val="Table-Layout-Grid"/>
    <w:basedOn w:val="TableNormal"/>
    <w:uiPriority w:val="99"/>
    <w:rsid w:val="00E928A8"/>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E928A8"/>
    <w:pPr>
      <w:spacing w:before="160" w:after="0"/>
    </w:pPr>
    <w:tblPr/>
  </w:style>
  <w:style w:type="table" w:customStyle="1" w:styleId="Table-Signature-4cols">
    <w:name w:val="Table-Signature-4cols"/>
    <w:basedOn w:val="Table-Signature-2cols"/>
    <w:uiPriority w:val="99"/>
    <w:rsid w:val="00E928A8"/>
    <w:tblPr/>
  </w:style>
  <w:style w:type="paragraph" w:customStyle="1" w:styleId="bullet-level1">
    <w:name w:val="bullet-level1"/>
    <w:basedOn w:val="local1"/>
    <w:qFormat/>
    <w:rsid w:val="00360762"/>
    <w:pPr>
      <w:numPr>
        <w:numId w:val="24"/>
      </w:numPr>
    </w:pPr>
  </w:style>
  <w:style w:type="paragraph" w:customStyle="1" w:styleId="bullet-level2">
    <w:name w:val="bullet-level2"/>
    <w:basedOn w:val="bullet-level1"/>
    <w:qFormat/>
    <w:rsid w:val="00360762"/>
    <w:pPr>
      <w:numPr>
        <w:ilvl w:val="1"/>
      </w:numPr>
    </w:pPr>
  </w:style>
  <w:style w:type="paragraph" w:customStyle="1" w:styleId="bullet-level3">
    <w:name w:val="bullet-level3"/>
    <w:basedOn w:val="bullet-level1"/>
    <w:qFormat/>
    <w:rsid w:val="00360762"/>
    <w:pPr>
      <w:numPr>
        <w:ilvl w:val="2"/>
      </w:numPr>
    </w:pPr>
  </w:style>
  <w:style w:type="paragraph" w:customStyle="1" w:styleId="bullet-level4">
    <w:name w:val="bullet-level4"/>
    <w:basedOn w:val="bullet-level1"/>
    <w:qFormat/>
    <w:rsid w:val="00360762"/>
    <w:pPr>
      <w:numPr>
        <w:ilvl w:val="3"/>
      </w:numPr>
    </w:pPr>
  </w:style>
  <w:style w:type="paragraph" w:customStyle="1" w:styleId="bullet-level5">
    <w:name w:val="bullet-level5"/>
    <w:basedOn w:val="bullet-level1"/>
    <w:qFormat/>
    <w:rsid w:val="00360762"/>
    <w:pPr>
      <w:numPr>
        <w:ilvl w:val="4"/>
      </w:numPr>
    </w:pPr>
  </w:style>
  <w:style w:type="paragraph" w:customStyle="1" w:styleId="bulletX-level1">
    <w:name w:val="bulletX-level1"/>
    <w:basedOn w:val="bullet-level1"/>
    <w:qFormat/>
    <w:rsid w:val="00360762"/>
  </w:style>
  <w:style w:type="paragraph" w:customStyle="1" w:styleId="bulletX-level2">
    <w:name w:val="bulletX-level2"/>
    <w:basedOn w:val="bullet-level2"/>
    <w:qFormat/>
    <w:rsid w:val="00360762"/>
  </w:style>
  <w:style w:type="paragraph" w:customStyle="1" w:styleId="bulletX-level3">
    <w:name w:val="bulletX-level3"/>
    <w:basedOn w:val="bullet-level3"/>
    <w:qFormat/>
    <w:rsid w:val="00360762"/>
  </w:style>
  <w:style w:type="paragraph" w:customStyle="1" w:styleId="bulletX-level4">
    <w:name w:val="bulletX-level4"/>
    <w:basedOn w:val="bullet-level4"/>
    <w:qFormat/>
    <w:rsid w:val="00360762"/>
  </w:style>
  <w:style w:type="paragraph" w:customStyle="1" w:styleId="bulletX-level5">
    <w:name w:val="bulletX-level5"/>
    <w:basedOn w:val="bullet-level5"/>
    <w:qFormat/>
    <w:rsid w:val="00360762"/>
  </w:style>
  <w:style w:type="paragraph" w:customStyle="1" w:styleId="list-level1">
    <w:name w:val="list-level1"/>
    <w:basedOn w:val="local1"/>
    <w:qFormat/>
    <w:rsid w:val="00360762"/>
    <w:pPr>
      <w:numPr>
        <w:numId w:val="25"/>
      </w:numPr>
    </w:pPr>
  </w:style>
  <w:style w:type="paragraph" w:customStyle="1" w:styleId="list-level2">
    <w:name w:val="list-level2"/>
    <w:basedOn w:val="list-level1"/>
    <w:qFormat/>
    <w:rsid w:val="00360762"/>
    <w:pPr>
      <w:numPr>
        <w:ilvl w:val="1"/>
      </w:numPr>
    </w:pPr>
  </w:style>
  <w:style w:type="paragraph" w:customStyle="1" w:styleId="list-level3">
    <w:name w:val="list-level3"/>
    <w:basedOn w:val="list-level1"/>
    <w:qFormat/>
    <w:rsid w:val="00360762"/>
    <w:pPr>
      <w:numPr>
        <w:ilvl w:val="2"/>
      </w:numPr>
    </w:pPr>
  </w:style>
  <w:style w:type="paragraph" w:customStyle="1" w:styleId="list-level4">
    <w:name w:val="list-level4"/>
    <w:basedOn w:val="list-level1"/>
    <w:qFormat/>
    <w:rsid w:val="00360762"/>
    <w:pPr>
      <w:numPr>
        <w:ilvl w:val="3"/>
      </w:numPr>
    </w:pPr>
  </w:style>
  <w:style w:type="paragraph" w:customStyle="1" w:styleId="list-level5">
    <w:name w:val="list-level5"/>
    <w:basedOn w:val="list-level1"/>
    <w:qFormat/>
    <w:rsid w:val="00360762"/>
    <w:pPr>
      <w:numPr>
        <w:ilvl w:val="4"/>
      </w:numPr>
    </w:pPr>
  </w:style>
  <w:style w:type="paragraph" w:customStyle="1" w:styleId="listX-level1">
    <w:name w:val="listX-level1"/>
    <w:basedOn w:val="list-level1"/>
    <w:qFormat/>
    <w:rsid w:val="00360762"/>
  </w:style>
  <w:style w:type="paragraph" w:customStyle="1" w:styleId="listX-level2">
    <w:name w:val="listX-level2"/>
    <w:basedOn w:val="list-level2"/>
    <w:qFormat/>
    <w:rsid w:val="00360762"/>
  </w:style>
  <w:style w:type="paragraph" w:customStyle="1" w:styleId="listX-level3">
    <w:name w:val="listX-level3"/>
    <w:basedOn w:val="list-level3"/>
    <w:qFormat/>
    <w:rsid w:val="00360762"/>
  </w:style>
  <w:style w:type="paragraph" w:customStyle="1" w:styleId="listX-level4">
    <w:name w:val="listX-level4"/>
    <w:basedOn w:val="list-level4"/>
    <w:qFormat/>
    <w:rsid w:val="00360762"/>
  </w:style>
  <w:style w:type="paragraph" w:customStyle="1" w:styleId="listX-level5">
    <w:name w:val="listX-level5"/>
    <w:basedOn w:val="list-level5"/>
    <w:qFormat/>
    <w:rsid w:val="00360762"/>
  </w:style>
  <w:style w:type="numbering" w:customStyle="1" w:styleId="semanticbullets">
    <w:name w:val="semantic_bullets"/>
    <w:uiPriority w:val="99"/>
    <w:rsid w:val="00360762"/>
    <w:pPr>
      <w:numPr>
        <w:numId w:val="24"/>
      </w:numPr>
    </w:pPr>
  </w:style>
  <w:style w:type="numbering" w:customStyle="1" w:styleId="semanticnumbers">
    <w:name w:val="semantic_numbers"/>
    <w:uiPriority w:val="99"/>
    <w:rsid w:val="00360762"/>
    <w:pPr>
      <w:numPr>
        <w:numId w:val="25"/>
      </w:numPr>
    </w:pPr>
  </w:style>
  <w:style w:type="paragraph" w:customStyle="1" w:styleId="list1">
    <w:name w:val="list:1"/>
    <w:basedOn w:val="Normal"/>
    <w:qFormat/>
    <w:rsid w:val="001069DB"/>
    <w:pPr>
      <w:numPr>
        <w:numId w:val="26"/>
      </w:numPr>
    </w:pPr>
  </w:style>
  <w:style w:type="numbering" w:customStyle="1" w:styleId="numberedlist">
    <w:name w:val="numbered list"/>
    <w:basedOn w:val="NoList"/>
    <w:uiPriority w:val="99"/>
    <w:rsid w:val="001069DB"/>
    <w:pPr>
      <w:numPr>
        <w:numId w:val="27"/>
      </w:numPr>
    </w:pPr>
  </w:style>
  <w:style w:type="paragraph" w:customStyle="1" w:styleId="list2">
    <w:name w:val="list:2"/>
    <w:basedOn w:val="list1"/>
    <w:qFormat/>
    <w:rsid w:val="00976D6C"/>
    <w:pPr>
      <w:numPr>
        <w:ilvl w:val="1"/>
      </w:numPr>
    </w:pPr>
  </w:style>
  <w:style w:type="paragraph" w:customStyle="1" w:styleId="list3">
    <w:name w:val="list:3"/>
    <w:basedOn w:val="list1"/>
    <w:qFormat/>
    <w:rsid w:val="00976D6C"/>
    <w:pPr>
      <w:numPr>
        <w:ilvl w:val="2"/>
      </w:numPr>
    </w:pPr>
  </w:style>
  <w:style w:type="paragraph" w:customStyle="1" w:styleId="list4">
    <w:name w:val="list:4"/>
    <w:basedOn w:val="list1"/>
    <w:qFormat/>
    <w:rsid w:val="00976D6C"/>
    <w:pPr>
      <w:numPr>
        <w:ilvl w:val="3"/>
      </w:numPr>
    </w:pPr>
  </w:style>
  <w:style w:type="paragraph" w:styleId="BalloonText">
    <w:name w:val="Balloon Text"/>
    <w:basedOn w:val="Normal"/>
    <w:link w:val="BalloonTextChar"/>
    <w:uiPriority w:val="99"/>
    <w:semiHidden/>
    <w:unhideWhenUsed/>
    <w:rsid w:val="009D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5A"/>
    <w:rPr>
      <w:rFonts w:ascii="Segoe UI" w:hAnsi="Segoe UI" w:cs="Segoe UI"/>
      <w:kern w:val="20"/>
      <w:sz w:val="18"/>
      <w:szCs w:val="18"/>
    </w:rPr>
  </w:style>
  <w:style w:type="character" w:styleId="UnresolvedMention">
    <w:name w:val="Unresolved Mention"/>
    <w:basedOn w:val="DefaultParagraphFont"/>
    <w:uiPriority w:val="99"/>
    <w:semiHidden/>
    <w:unhideWhenUsed/>
    <w:rsid w:val="00676319"/>
    <w:rPr>
      <w:color w:val="605E5C"/>
      <w:shd w:val="clear" w:color="auto" w:fill="E1DFDD"/>
    </w:rPr>
  </w:style>
  <w:style w:type="character" w:styleId="FollowedHyperlink">
    <w:name w:val="FollowedHyperlink"/>
    <w:basedOn w:val="DefaultParagraphFont"/>
    <w:uiPriority w:val="99"/>
    <w:semiHidden/>
    <w:unhideWhenUsed/>
    <w:rsid w:val="00D9037B"/>
    <w:rPr>
      <w:color w:val="800080" w:themeColor="followedHyperlink"/>
      <w:u w:val="single"/>
    </w:rPr>
  </w:style>
  <w:style w:type="paragraph" w:styleId="Revision">
    <w:name w:val="Revision"/>
    <w:hidden/>
    <w:uiPriority w:val="99"/>
    <w:semiHidden/>
    <w:rsid w:val="00A13C3E"/>
    <w:pPr>
      <w:spacing w:after="0" w:line="240" w:lineRule="auto"/>
    </w:pPr>
    <w:rPr>
      <w:kern w:val="20"/>
    </w:rPr>
  </w:style>
  <w:style w:type="character" w:styleId="CommentReference">
    <w:name w:val="annotation reference"/>
    <w:basedOn w:val="DefaultParagraphFont"/>
    <w:uiPriority w:val="99"/>
    <w:semiHidden/>
    <w:unhideWhenUsed/>
    <w:rsid w:val="000E76E6"/>
    <w:rPr>
      <w:sz w:val="16"/>
      <w:szCs w:val="16"/>
    </w:rPr>
  </w:style>
  <w:style w:type="paragraph" w:styleId="CommentText">
    <w:name w:val="annotation text"/>
    <w:basedOn w:val="Normal"/>
    <w:link w:val="CommentTextChar"/>
    <w:uiPriority w:val="99"/>
    <w:semiHidden/>
    <w:unhideWhenUsed/>
    <w:rsid w:val="000E76E6"/>
    <w:pPr>
      <w:spacing w:line="240" w:lineRule="auto"/>
    </w:pPr>
    <w:rPr>
      <w:sz w:val="20"/>
      <w:szCs w:val="20"/>
    </w:rPr>
  </w:style>
  <w:style w:type="character" w:customStyle="1" w:styleId="CommentTextChar">
    <w:name w:val="Comment Text Char"/>
    <w:basedOn w:val="DefaultParagraphFont"/>
    <w:link w:val="CommentText"/>
    <w:uiPriority w:val="99"/>
    <w:semiHidden/>
    <w:rsid w:val="000E76E6"/>
    <w:rPr>
      <w:kern w:val="20"/>
      <w:sz w:val="20"/>
      <w:szCs w:val="20"/>
    </w:rPr>
  </w:style>
  <w:style w:type="paragraph" w:styleId="CommentSubject">
    <w:name w:val="annotation subject"/>
    <w:basedOn w:val="CommentText"/>
    <w:next w:val="CommentText"/>
    <w:link w:val="CommentSubjectChar"/>
    <w:uiPriority w:val="99"/>
    <w:semiHidden/>
    <w:unhideWhenUsed/>
    <w:rsid w:val="000E76E6"/>
    <w:rPr>
      <w:b/>
      <w:bCs/>
    </w:rPr>
  </w:style>
  <w:style w:type="character" w:customStyle="1" w:styleId="CommentSubjectChar">
    <w:name w:val="Comment Subject Char"/>
    <w:basedOn w:val="CommentTextChar"/>
    <w:link w:val="CommentSubject"/>
    <w:uiPriority w:val="99"/>
    <w:semiHidden/>
    <w:rsid w:val="000E76E6"/>
    <w:rPr>
      <w:b/>
      <w:bCs/>
      <w:kern w:val="20"/>
      <w:sz w:val="20"/>
      <w:szCs w:val="20"/>
    </w:rPr>
  </w:style>
  <w:style w:type="paragraph" w:styleId="NormalWeb">
    <w:name w:val="Normal (Web)"/>
    <w:basedOn w:val="Normal"/>
    <w:uiPriority w:val="99"/>
    <w:semiHidden/>
    <w:unhideWhenUsed/>
    <w:rsid w:val="006E25E7"/>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24894">
      <w:bodyDiv w:val="1"/>
      <w:marLeft w:val="0"/>
      <w:marRight w:val="0"/>
      <w:marTop w:val="0"/>
      <w:marBottom w:val="0"/>
      <w:divBdr>
        <w:top w:val="none" w:sz="0" w:space="0" w:color="auto"/>
        <w:left w:val="none" w:sz="0" w:space="0" w:color="auto"/>
        <w:bottom w:val="none" w:sz="0" w:space="0" w:color="auto"/>
        <w:right w:val="none" w:sz="0" w:space="0" w:color="auto"/>
      </w:divBdr>
    </w:div>
    <w:div w:id="843932156">
      <w:bodyDiv w:val="1"/>
      <w:marLeft w:val="0"/>
      <w:marRight w:val="0"/>
      <w:marTop w:val="0"/>
      <w:marBottom w:val="0"/>
      <w:divBdr>
        <w:top w:val="none" w:sz="0" w:space="0" w:color="auto"/>
        <w:left w:val="none" w:sz="0" w:space="0" w:color="auto"/>
        <w:bottom w:val="none" w:sz="0" w:space="0" w:color="auto"/>
        <w:right w:val="none" w:sz="0" w:space="0" w:color="auto"/>
      </w:divBdr>
    </w:div>
    <w:div w:id="1307511940">
      <w:bodyDiv w:val="1"/>
      <w:marLeft w:val="0"/>
      <w:marRight w:val="0"/>
      <w:marTop w:val="0"/>
      <w:marBottom w:val="0"/>
      <w:divBdr>
        <w:top w:val="none" w:sz="0" w:space="0" w:color="auto"/>
        <w:left w:val="none" w:sz="0" w:space="0" w:color="auto"/>
        <w:bottom w:val="none" w:sz="0" w:space="0" w:color="auto"/>
        <w:right w:val="none" w:sz="0" w:space="0" w:color="auto"/>
      </w:divBdr>
    </w:div>
    <w:div w:id="13464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texas.gov/Texas_Educators/Investigations/Superintendent_Reporting_Educator_Misconduc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tea.texas.gov/texas-educators/investigations/superintendent-report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4790138CCD441B693B6B3B7FFA1EA" ma:contentTypeVersion="0" ma:contentTypeDescription="Create a new document." ma:contentTypeScope="" ma:versionID="5313f10277c78f9dc598eaab3a11bd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dm:cachedDataManifest xmlns:cdm="http://schemas.microsoft.com/2004/VisualStudio/Tools/Applications/CachedDataManifest.xsd" cdm:revision="1"/>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41F9-35D4-47DD-946A-4ECA82951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5152C2-5887-4991-8651-45BEFFF83B4E}">
  <ds:schemaRefs>
    <ds:schemaRef ds:uri="http://schemas.microsoft.com/sharepoint/v3/contenttype/forms"/>
  </ds:schemaRefs>
</ds:datastoreItem>
</file>

<file path=customXml/itemProps3.xml><?xml version="1.0" encoding="utf-8"?>
<ds:datastoreItem xmlns:ds="http://schemas.openxmlformats.org/officeDocument/2006/customXml" ds:itemID="{398EEAD5-1038-43E3-9CA4-A3ADDF272249}">
  <ds:schemaRefs>
    <ds:schemaRef ds:uri="http://schemas.microsoft.com/office/2006/metadata/properties"/>
  </ds:schemaRefs>
</ds:datastoreItem>
</file>

<file path=customXml/itemProps4.xml><?xml version="1.0" encoding="utf-8"?>
<ds:datastoreItem xmlns:ds="http://schemas.openxmlformats.org/officeDocument/2006/customXml" ds:itemID="{F05138DB-8298-4620-938A-740EA12A1181}">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5D9D2CD7-E8A3-0C4E-B27D-C25115C6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Sample Title IX Formal Complaint Procedures</vt:lpstr>
    </vt:vector>
  </TitlesOfParts>
  <Company>TASB</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 IX Formal Complaint Procedures</dc:title>
  <dc:creator>TASB Legal Services</dc:creator>
  <cp:keywords>Title IX, sexual, harassment, gender, regulations, formal, complaint</cp:keywords>
  <cp:lastModifiedBy>Microsoft Office User</cp:lastModifiedBy>
  <cp:revision>5</cp:revision>
  <cp:lastPrinted>2020-08-12T15:49:00Z</cp:lastPrinted>
  <dcterms:created xsi:type="dcterms:W3CDTF">2021-01-05T17:54:00Z</dcterms:created>
  <dcterms:modified xsi:type="dcterms:W3CDTF">2021-01-22T19:39:00Z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0x0101001DD4790138CCD441B693B6B3B7FFA1EA</vt:lpwstr>
  </property>
  <property fmtid="{D5CDD505-2E9C-101B-9397-08002B2CF9AE}" pid="3" name="DocName">
    <vt:lpwstr>FFH(R)-RRM</vt:lpwstr>
  </property>
  <property fmtid="{D5CDD505-2E9C-101B-9397-08002B2CF9AE}" pid="4" name="FolderKey">
    <vt:lpwstr>40214</vt:lpwstr>
  </property>
  <property fmtid="{D5CDD505-2E9C-101B-9397-08002B2CF9AE}" pid="5" name="ObjectDetailKey">
    <vt:lpwstr>256904</vt:lpwstr>
  </property>
  <property fmtid="{D5CDD505-2E9C-101B-9397-08002B2CF9AE}" pid="6" name="ObjectKey">
    <vt:lpwstr>130863</vt:lpwstr>
  </property>
  <property fmtid="{D5CDD505-2E9C-101B-9397-08002B2CF9AE}" pid="7" name="Origin">
    <vt:lpwstr>130863.docx</vt:lpwstr>
  </property>
  <property fmtid="{D5CDD505-2E9C-101B-9397-08002B2CF9AE}" pid="8" name="PolicySubTitle">
    <vt:lpwstr>FREEDOM FROM DISCRIMINATION, HARASSMENT, AND RETALIATION</vt:lpwstr>
  </property>
  <property fmtid="{D5CDD505-2E9C-101B-9397-08002B2CF9AE}" pid="9" name="PolicyTitle">
    <vt:lpwstr>STUDENT WELFARE</vt:lpwstr>
  </property>
  <property fmtid="{D5CDD505-2E9C-101B-9397-08002B2CF9AE}" pid="10" name="UpdateNumber">
    <vt:lpwstr>46</vt:lpwstr>
  </property>
</Properties>
</file>